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Default="00E1118F" w:rsidP="00E1118F">
      <w:pPr>
        <w:autoSpaceDE w:val="0"/>
        <w:autoSpaceDN w:val="0"/>
        <w:adjustRightInd w:val="0"/>
        <w:spacing w:after="0"/>
        <w:jc w:val="both"/>
        <w:rPr>
          <w:rFonts w:eastAsiaTheme="majorEastAsia" w:cstheme="majorBidi"/>
          <w:b/>
          <w:color w:val="00A9B7"/>
          <w:sz w:val="24"/>
        </w:rPr>
      </w:pPr>
    </w:p>
    <w:p w:rsidR="00E1118F" w:rsidRPr="002759A9" w:rsidRDefault="00E1118F" w:rsidP="00E1118F">
      <w:pPr>
        <w:autoSpaceDE w:val="0"/>
        <w:autoSpaceDN w:val="0"/>
        <w:adjustRightInd w:val="0"/>
        <w:spacing w:after="0"/>
        <w:jc w:val="both"/>
        <w:rPr>
          <w:rFonts w:eastAsiaTheme="majorEastAsia" w:cstheme="majorBidi"/>
          <w:b/>
          <w:color w:val="00A9B7"/>
          <w:sz w:val="24"/>
        </w:rPr>
      </w:pPr>
      <w:r>
        <w:rPr>
          <w:rFonts w:eastAsiaTheme="majorEastAsia" w:cstheme="majorBidi"/>
          <w:b/>
          <w:color w:val="00A9B7"/>
          <w:sz w:val="24"/>
        </w:rPr>
        <w:t xml:space="preserve">7.2 </w:t>
      </w:r>
      <w:r>
        <w:rPr>
          <w:rFonts w:eastAsiaTheme="majorEastAsia" w:cstheme="majorBidi"/>
          <w:b/>
          <w:color w:val="00A9B7"/>
          <w:sz w:val="24"/>
        </w:rPr>
        <w:t>T</w:t>
      </w:r>
      <w:r w:rsidRPr="002759A9">
        <w:rPr>
          <w:rFonts w:eastAsiaTheme="majorEastAsia" w:cstheme="majorBidi"/>
          <w:b/>
          <w:color w:val="00A9B7"/>
          <w:sz w:val="24"/>
        </w:rPr>
        <w:t>raining</w:t>
      </w:r>
      <w:r>
        <w:rPr>
          <w:rFonts w:eastAsiaTheme="majorEastAsia" w:cstheme="majorBidi"/>
          <w:b/>
          <w:color w:val="00A9B7"/>
          <w:sz w:val="24"/>
        </w:rPr>
        <w:t xml:space="preserve"> Requirements</w:t>
      </w:r>
    </w:p>
    <w:p w:rsidR="00E1118F" w:rsidRPr="002759A9" w:rsidRDefault="00E1118F" w:rsidP="00E1118F">
      <w:pPr>
        <w:spacing w:after="0"/>
        <w:ind w:right="-326"/>
        <w:jc w:val="both"/>
        <w:rPr>
          <w:rFonts w:cs="Arial"/>
        </w:rPr>
      </w:pPr>
      <w:r w:rsidRPr="002759A9">
        <w:rPr>
          <w:rFonts w:cs="Arial"/>
        </w:rPr>
        <w:t>The requirements for employees/others to participate in health and safety training are outlined below.  Where risk assessments determine a need outside the specified timeframes, employees/others must comply with the needs so determined.</w:t>
      </w:r>
    </w:p>
    <w:p w:rsidR="00E1118F" w:rsidRPr="00457E00" w:rsidRDefault="00E1118F" w:rsidP="00E1118F">
      <w:pPr>
        <w:spacing w:after="0"/>
        <w:ind w:left="48" w:right="-326"/>
        <w:rPr>
          <w:rFonts w:asciiTheme="majorHAnsi" w:hAnsiTheme="majorHAnsi" w:cstheme="majorHAnsi"/>
        </w:rPr>
      </w:pPr>
    </w:p>
    <w:p w:rsidR="00E1118F" w:rsidRPr="00BF34CE" w:rsidRDefault="00E1118F" w:rsidP="00E1118F">
      <w:pPr>
        <w:autoSpaceDE w:val="0"/>
        <w:autoSpaceDN w:val="0"/>
        <w:adjustRightInd w:val="0"/>
        <w:spacing w:after="0"/>
        <w:jc w:val="both"/>
        <w:rPr>
          <w:rFonts w:eastAsiaTheme="majorEastAsia" w:cstheme="majorBidi"/>
          <w:b/>
          <w:color w:val="1F3864" w:themeColor="accent5" w:themeShade="80"/>
          <w:sz w:val="24"/>
        </w:rPr>
      </w:pPr>
      <w:bookmarkStart w:id="0" w:name="_Toc130312913"/>
      <w:r>
        <w:rPr>
          <w:rFonts w:eastAsiaTheme="majorEastAsia" w:cstheme="majorBidi"/>
          <w:b/>
          <w:color w:val="1F3864" w:themeColor="accent5" w:themeShade="80"/>
          <w:sz w:val="24"/>
        </w:rPr>
        <w:t xml:space="preserve">Required </w:t>
      </w:r>
      <w:r w:rsidRPr="00BF34CE">
        <w:rPr>
          <w:rFonts w:eastAsiaTheme="majorEastAsia" w:cstheme="majorBidi"/>
          <w:b/>
          <w:color w:val="1F3864" w:themeColor="accent5" w:themeShade="80"/>
          <w:sz w:val="24"/>
        </w:rPr>
        <w:t>SHW Training for all employees</w:t>
      </w:r>
    </w:p>
    <w:p w:rsidR="00E1118F" w:rsidRPr="00052CBB" w:rsidRDefault="00E1118F" w:rsidP="00E1118F">
      <w:pPr>
        <w:pStyle w:val="Heading2"/>
        <w:spacing w:before="0" w:after="0"/>
      </w:pPr>
      <w:bookmarkStart w:id="1" w:name="_Toc132693607"/>
      <w:r w:rsidRPr="00052CBB">
        <w:t>Health and Safety Induction Training for new recruits</w:t>
      </w:r>
      <w:bookmarkEnd w:id="0"/>
      <w:bookmarkEnd w:id="1"/>
    </w:p>
    <w:p w:rsidR="00E1118F" w:rsidRPr="002759A9" w:rsidRDefault="00E1118F" w:rsidP="00E1118F">
      <w:pPr>
        <w:spacing w:after="0"/>
        <w:ind w:right="-326"/>
        <w:jc w:val="both"/>
        <w:rPr>
          <w:rFonts w:cs="Arial"/>
        </w:rPr>
      </w:pPr>
      <w:r w:rsidRPr="002759A9">
        <w:rPr>
          <w:rFonts w:cs="Arial"/>
        </w:rPr>
        <w:t xml:space="preserve">All new recruits must participate in health and safety induction on commencement of employment by taking the online health and safety induction e-Learning programme. </w:t>
      </w:r>
    </w:p>
    <w:p w:rsidR="00E1118F" w:rsidRPr="00457E00" w:rsidRDefault="00E1118F" w:rsidP="00E1118F">
      <w:pPr>
        <w:spacing w:after="0"/>
        <w:ind w:left="48" w:right="-326"/>
        <w:rPr>
          <w:rFonts w:asciiTheme="majorHAnsi" w:hAnsiTheme="majorHAnsi" w:cstheme="majorHAnsi"/>
        </w:rPr>
      </w:pPr>
    </w:p>
    <w:p w:rsidR="00E1118F" w:rsidRPr="00457E00" w:rsidRDefault="00E1118F" w:rsidP="00E1118F">
      <w:pPr>
        <w:pStyle w:val="Heading2"/>
        <w:spacing w:before="0" w:after="0"/>
        <w:contextualSpacing/>
      </w:pPr>
      <w:bookmarkStart w:id="2" w:name="_Toc130312914"/>
      <w:bookmarkStart w:id="3" w:name="_Toc132693608"/>
      <w:r w:rsidRPr="00457E00">
        <w:t>Emergency Response Training (incorporating Fire Safety)</w:t>
      </w:r>
      <w:bookmarkEnd w:id="2"/>
      <w:bookmarkEnd w:id="3"/>
    </w:p>
    <w:p w:rsidR="00E1118F" w:rsidRDefault="00E1118F" w:rsidP="00E1118F">
      <w:pPr>
        <w:spacing w:after="0"/>
        <w:ind w:right="-326"/>
        <w:contextualSpacing/>
        <w:jc w:val="both"/>
        <w:rPr>
          <w:rFonts w:cs="Arial"/>
        </w:rPr>
      </w:pPr>
      <w:r w:rsidRPr="002759A9">
        <w:rPr>
          <w:rFonts w:cs="Arial"/>
        </w:rPr>
        <w:t xml:space="preserve">At least once every three years all employees including hourly paid employees, must participate in Emergency Response Training (ERT). </w:t>
      </w:r>
      <w:bookmarkStart w:id="4" w:name="_Hlk130300509"/>
      <w:r w:rsidRPr="002759A9">
        <w:rPr>
          <w:rFonts w:cs="Arial"/>
        </w:rPr>
        <w:t xml:space="preserve">They will meet this requirement by taking the online Emergency Response eLearning training programme </w:t>
      </w:r>
      <w:bookmarkEnd w:id="4"/>
      <w:r w:rsidRPr="002759A9">
        <w:rPr>
          <w:rFonts w:cs="Arial"/>
        </w:rPr>
        <w:t xml:space="preserve">and completing refresher eLearning every three years. All staff in laboratories, workshops, kitchens, libraries, Campus and Estates and identified others will receive a practical demonstration in the use of fire equipment </w:t>
      </w:r>
      <w:r w:rsidRPr="002759A9">
        <w:rPr>
          <w:rFonts w:cs="Arial"/>
          <w:u w:val="single"/>
        </w:rPr>
        <w:t>every three years</w:t>
      </w:r>
      <w:r w:rsidRPr="002759A9">
        <w:rPr>
          <w:rFonts w:cs="Arial"/>
        </w:rPr>
        <w:t xml:space="preserve"> or more frequently if required. </w:t>
      </w:r>
    </w:p>
    <w:p w:rsidR="00E1118F" w:rsidRPr="002759A9" w:rsidRDefault="00E1118F" w:rsidP="00E1118F">
      <w:pPr>
        <w:spacing w:after="0"/>
        <w:ind w:right="-326"/>
        <w:contextualSpacing/>
        <w:rPr>
          <w:rFonts w:cs="Arial"/>
        </w:rPr>
      </w:pPr>
    </w:p>
    <w:p w:rsidR="00E1118F" w:rsidRPr="00457E00" w:rsidRDefault="00E1118F" w:rsidP="00E1118F">
      <w:pPr>
        <w:pStyle w:val="Heading2"/>
        <w:spacing w:before="0" w:after="0"/>
      </w:pPr>
      <w:bookmarkStart w:id="5" w:name="_Toc130312915"/>
      <w:bookmarkStart w:id="6" w:name="_Toc132693609"/>
      <w:r w:rsidRPr="00457E00">
        <w:t>Manual Handling Training</w:t>
      </w:r>
      <w:bookmarkEnd w:id="5"/>
      <w:r>
        <w:rPr>
          <w:rStyle w:val="FootnoteReference"/>
        </w:rPr>
        <w:footnoteReference w:id="1"/>
      </w:r>
      <w:bookmarkEnd w:id="6"/>
      <w:r w:rsidRPr="00457E00">
        <w:t xml:space="preserve"> </w:t>
      </w:r>
    </w:p>
    <w:p w:rsidR="00E1118F" w:rsidRPr="002759A9" w:rsidRDefault="00E1118F" w:rsidP="00E1118F">
      <w:pPr>
        <w:spacing w:after="0"/>
        <w:ind w:right="-326"/>
        <w:jc w:val="both"/>
        <w:rPr>
          <w:rFonts w:cs="Arial"/>
          <w:szCs w:val="20"/>
        </w:rPr>
      </w:pPr>
      <w:r w:rsidRPr="002759A9">
        <w:rPr>
          <w:rFonts w:cs="Arial"/>
          <w:szCs w:val="20"/>
        </w:rPr>
        <w:t xml:space="preserve">At least once every three years, </w:t>
      </w:r>
      <w:r w:rsidRPr="002759A9">
        <w:rPr>
          <w:rFonts w:cs="Arial"/>
          <w:szCs w:val="20"/>
          <w:u w:val="single"/>
        </w:rPr>
        <w:t>all employees</w:t>
      </w:r>
      <w:r w:rsidRPr="002759A9">
        <w:rPr>
          <w:rFonts w:cs="Arial"/>
          <w:szCs w:val="20"/>
        </w:rPr>
        <w:t xml:space="preserve"> </w:t>
      </w:r>
      <w:r w:rsidRPr="002759A9">
        <w:rPr>
          <w:rFonts w:cs="Arial"/>
          <w:szCs w:val="20"/>
          <w:u w:val="single"/>
        </w:rPr>
        <w:t>with manual handling related duties</w:t>
      </w:r>
      <w:r w:rsidRPr="002759A9">
        <w:rPr>
          <w:rFonts w:cs="Arial"/>
          <w:szCs w:val="20"/>
        </w:rPr>
        <w:t xml:space="preserve"> must take the online manual handling eLearning training programme and online risk assessment.  The online risk assessment and specific School/</w:t>
      </w:r>
      <w:r>
        <w:rPr>
          <w:rFonts w:cs="Arial"/>
          <w:szCs w:val="20"/>
        </w:rPr>
        <w:t>Function</w:t>
      </w:r>
      <w:r w:rsidRPr="002759A9">
        <w:rPr>
          <w:rFonts w:cs="Arial"/>
          <w:szCs w:val="20"/>
        </w:rPr>
        <w:t xml:space="preserve"> risk assessment may determine the need for the employee to receive further training by attending the practical training course. It is the responsibility of the employee to attend the practical course if advised, including </w:t>
      </w:r>
      <w:r w:rsidRPr="002759A9">
        <w:rPr>
          <w:rFonts w:cs="Arial"/>
          <w:szCs w:val="20"/>
          <w:u w:val="single"/>
        </w:rPr>
        <w:t>refresher training every three years.</w:t>
      </w:r>
    </w:p>
    <w:p w:rsidR="00E1118F" w:rsidRPr="002759A9" w:rsidRDefault="00E1118F" w:rsidP="00E1118F">
      <w:pPr>
        <w:spacing w:after="0"/>
        <w:ind w:right="-326"/>
        <w:jc w:val="both"/>
        <w:rPr>
          <w:rFonts w:cs="Arial"/>
          <w:szCs w:val="20"/>
        </w:rPr>
      </w:pPr>
      <w:r w:rsidRPr="002759A9">
        <w:rPr>
          <w:rFonts w:cs="Arial"/>
          <w:szCs w:val="20"/>
        </w:rPr>
        <w:t xml:space="preserve">All other staff regardless of work duties will be enrolled on the TU Dublin manual handling principles online module (9-minute video), </w:t>
      </w:r>
      <w:r w:rsidRPr="002759A9">
        <w:rPr>
          <w:rFonts w:cs="Arial"/>
          <w:szCs w:val="20"/>
          <w:u w:val="single"/>
        </w:rPr>
        <w:t>every three years.</w:t>
      </w:r>
      <w:r w:rsidRPr="002759A9">
        <w:rPr>
          <w:rFonts w:cs="Arial"/>
          <w:szCs w:val="20"/>
        </w:rPr>
        <w:t xml:space="preserve"> </w:t>
      </w:r>
    </w:p>
    <w:p w:rsidR="00E1118F" w:rsidRPr="00457E00" w:rsidRDefault="00E1118F" w:rsidP="00E1118F">
      <w:pPr>
        <w:spacing w:after="0"/>
        <w:ind w:right="-326"/>
        <w:rPr>
          <w:rFonts w:asciiTheme="majorHAnsi" w:hAnsiTheme="majorHAnsi" w:cstheme="majorHAnsi"/>
        </w:rPr>
      </w:pPr>
    </w:p>
    <w:p w:rsidR="00E1118F" w:rsidRPr="00457E00" w:rsidRDefault="00E1118F" w:rsidP="00E1118F">
      <w:pPr>
        <w:spacing w:after="0"/>
        <w:ind w:left="48" w:right="-326"/>
        <w:rPr>
          <w:rFonts w:asciiTheme="majorHAnsi" w:hAnsiTheme="majorHAnsi" w:cstheme="majorHAnsi"/>
        </w:rPr>
      </w:pPr>
    </w:p>
    <w:p w:rsidR="00E1118F" w:rsidRPr="00BF34CE" w:rsidRDefault="00E1118F" w:rsidP="00E1118F">
      <w:pPr>
        <w:autoSpaceDE w:val="0"/>
        <w:autoSpaceDN w:val="0"/>
        <w:adjustRightInd w:val="0"/>
        <w:spacing w:after="0"/>
        <w:jc w:val="both"/>
        <w:rPr>
          <w:rFonts w:eastAsiaTheme="majorEastAsia" w:cstheme="majorBidi"/>
          <w:b/>
          <w:color w:val="1F3864" w:themeColor="accent5" w:themeShade="80"/>
          <w:sz w:val="24"/>
        </w:rPr>
      </w:pPr>
      <w:bookmarkStart w:id="7" w:name="_Toc130312917"/>
      <w:r w:rsidRPr="00BF34CE">
        <w:rPr>
          <w:rFonts w:eastAsiaTheme="majorEastAsia" w:cstheme="majorBidi"/>
          <w:b/>
          <w:color w:val="1F3864" w:themeColor="accent5" w:themeShade="80"/>
          <w:sz w:val="24"/>
        </w:rPr>
        <w:t>Specialised Training for Specific Job Categories</w:t>
      </w:r>
      <w:bookmarkEnd w:id="7"/>
    </w:p>
    <w:p w:rsidR="00E1118F" w:rsidRPr="002759A9" w:rsidRDefault="00E1118F" w:rsidP="00E1118F">
      <w:pPr>
        <w:spacing w:after="0"/>
        <w:ind w:left="48" w:right="-326"/>
        <w:jc w:val="both"/>
        <w:rPr>
          <w:rFonts w:cs="Arial"/>
        </w:rPr>
      </w:pPr>
      <w:r w:rsidRPr="002759A9">
        <w:rPr>
          <w:rFonts w:cs="Arial"/>
        </w:rPr>
        <w:t xml:space="preserve">Where specialist health and safety training needs have been identified in the risk assessment for specific activities or areas, employees must participate in training and/or assessment when required. Where specialist health and safety training is required that is a specific local need and not a University wide need, the cost must be met through local budgets. The courses will be facilitated by the People Development Office. </w:t>
      </w:r>
    </w:p>
    <w:p w:rsidR="00E1118F" w:rsidRPr="00457E00" w:rsidRDefault="00E1118F" w:rsidP="00E1118F">
      <w:pPr>
        <w:spacing w:after="0"/>
        <w:ind w:right="-326"/>
        <w:rPr>
          <w:rFonts w:asciiTheme="majorHAnsi" w:hAnsiTheme="majorHAnsi" w:cstheme="majorHAnsi"/>
        </w:rPr>
      </w:pPr>
    </w:p>
    <w:p w:rsidR="00E1118F" w:rsidRPr="00457E00" w:rsidRDefault="00E1118F" w:rsidP="00E1118F">
      <w:pPr>
        <w:pStyle w:val="Heading2"/>
        <w:spacing w:before="0" w:after="0"/>
      </w:pPr>
      <w:bookmarkStart w:id="8" w:name="_Toc130312916"/>
      <w:bookmarkStart w:id="9" w:name="_Toc132693610"/>
      <w:bookmarkStart w:id="10" w:name="_Toc130312918"/>
      <w:r w:rsidRPr="00457E00">
        <w:t>Management Training</w:t>
      </w:r>
      <w:bookmarkEnd w:id="8"/>
      <w:bookmarkEnd w:id="9"/>
      <w:r w:rsidRPr="00457E00">
        <w:t xml:space="preserve"> </w:t>
      </w:r>
    </w:p>
    <w:p w:rsidR="00E1118F" w:rsidRPr="004C56CA" w:rsidRDefault="00E1118F" w:rsidP="00E1118F">
      <w:pPr>
        <w:spacing w:after="0"/>
        <w:ind w:right="-326"/>
        <w:jc w:val="both"/>
        <w:rPr>
          <w:rFonts w:cs="Arial"/>
        </w:rPr>
      </w:pPr>
      <w:r w:rsidRPr="00105DA5">
        <w:rPr>
          <w:rFonts w:cs="Arial"/>
        </w:rPr>
        <w:t xml:space="preserve">At least </w:t>
      </w:r>
      <w:r w:rsidRPr="00105DA5">
        <w:rPr>
          <w:rFonts w:cs="Arial"/>
          <w:u w:val="single"/>
        </w:rPr>
        <w:t xml:space="preserve">once every three years </w:t>
      </w:r>
      <w:r w:rsidRPr="00105DA5">
        <w:rPr>
          <w:rFonts w:cs="Arial"/>
        </w:rPr>
        <w:t>all employees in management and supervisory positions (i.e. all those who have employees reporting to them) must participate in training programmes covering legal responsibilities, and also attend legal briefings on a regular basis. This will be facilitated by the SHW Office through the provision of bespoke training programmes</w:t>
      </w:r>
      <w:r w:rsidRPr="004C56CA">
        <w:rPr>
          <w:rFonts w:cs="Arial"/>
        </w:rPr>
        <w:t xml:space="preserve">. </w:t>
      </w:r>
    </w:p>
    <w:p w:rsidR="00E1118F" w:rsidRPr="00457E00" w:rsidRDefault="00E1118F" w:rsidP="00E1118F">
      <w:pPr>
        <w:spacing w:after="0"/>
        <w:ind w:left="48" w:right="-326"/>
        <w:jc w:val="both"/>
        <w:rPr>
          <w:rFonts w:asciiTheme="majorHAnsi" w:hAnsiTheme="majorHAnsi" w:cstheme="majorHAnsi"/>
        </w:rPr>
      </w:pPr>
    </w:p>
    <w:p w:rsidR="00E1118F" w:rsidRDefault="00E1118F" w:rsidP="00E1118F">
      <w:pPr>
        <w:pStyle w:val="Heading2"/>
        <w:spacing w:before="0" w:after="0"/>
      </w:pPr>
      <w:bookmarkStart w:id="11" w:name="_Toc132693611"/>
      <w:r w:rsidRPr="00457E00">
        <w:t>Training for Out of Hours</w:t>
      </w:r>
      <w:bookmarkEnd w:id="10"/>
      <w:bookmarkEnd w:id="11"/>
    </w:p>
    <w:p w:rsidR="00E1118F" w:rsidRDefault="00E1118F" w:rsidP="00E1118F">
      <w:pPr>
        <w:spacing w:after="0"/>
        <w:jc w:val="both"/>
        <w:rPr>
          <w:rFonts w:cs="Arial"/>
        </w:rPr>
      </w:pPr>
      <w:r w:rsidRPr="002759A9">
        <w:rPr>
          <w:rFonts w:cs="Arial"/>
        </w:rPr>
        <w:t xml:space="preserve">Specific health and safety training is required for those participating in out of hours access. </w:t>
      </w:r>
      <w:r w:rsidRPr="004C56CA">
        <w:rPr>
          <w:rFonts w:cs="Arial"/>
        </w:rPr>
        <w:t>Out of hours is work undertaken outside normal hours (8am-10pm Monday to Friday term-time or 8am-6pm Summer time)</w:t>
      </w:r>
      <w:r>
        <w:rPr>
          <w:rFonts w:cs="Arial"/>
        </w:rPr>
        <w:t xml:space="preserve">. </w:t>
      </w:r>
    </w:p>
    <w:p w:rsidR="00E1118F" w:rsidRPr="004C56CA" w:rsidRDefault="00E1118F" w:rsidP="00E1118F">
      <w:pPr>
        <w:spacing w:after="0"/>
        <w:jc w:val="both"/>
        <w:rPr>
          <w:rFonts w:cs="Arial"/>
          <w:lang w:val="en-GB"/>
        </w:rPr>
      </w:pPr>
    </w:p>
    <w:p w:rsidR="00E1118F" w:rsidRDefault="00E1118F" w:rsidP="00E1118F">
      <w:pPr>
        <w:spacing w:after="0"/>
        <w:jc w:val="both"/>
        <w:rPr>
          <w:rFonts w:cs="Arial"/>
        </w:rPr>
      </w:pPr>
      <w:r w:rsidRPr="002759A9">
        <w:rPr>
          <w:rFonts w:cs="Arial"/>
        </w:rPr>
        <w:t>The initiator (i.e. the employee/manager responsible) in each case must ensure that appropriate level of training takes place at the frequency as dictated in the relevant policy. They will meet this requirement by taking the online eLearning training programme.</w:t>
      </w:r>
    </w:p>
    <w:p w:rsidR="00E1118F" w:rsidRPr="00BF34CE" w:rsidRDefault="00E1118F" w:rsidP="00E1118F">
      <w:pPr>
        <w:spacing w:after="0"/>
        <w:jc w:val="both"/>
        <w:rPr>
          <w:rFonts w:cs="Arial"/>
        </w:rPr>
      </w:pPr>
    </w:p>
    <w:p w:rsidR="00E1118F" w:rsidRDefault="00E1118F" w:rsidP="00E1118F">
      <w:pPr>
        <w:pStyle w:val="Heading2"/>
        <w:spacing w:before="0" w:after="0"/>
      </w:pPr>
      <w:bookmarkStart w:id="12" w:name="_Toc130312919"/>
    </w:p>
    <w:p w:rsidR="00E1118F" w:rsidRPr="00457E00" w:rsidRDefault="00E1118F" w:rsidP="00E1118F">
      <w:pPr>
        <w:pStyle w:val="Heading2"/>
        <w:spacing w:before="0" w:after="0"/>
      </w:pPr>
      <w:bookmarkStart w:id="13" w:name="_Toc132693612"/>
      <w:r w:rsidRPr="00457E00">
        <w:t>Service Providers/Contractors &amp; others</w:t>
      </w:r>
      <w:bookmarkEnd w:id="12"/>
      <w:bookmarkEnd w:id="13"/>
      <w:r w:rsidRPr="00457E00">
        <w:t xml:space="preserve"> </w:t>
      </w:r>
    </w:p>
    <w:p w:rsidR="00E1118F" w:rsidRPr="002759A9" w:rsidRDefault="00E1118F" w:rsidP="00E1118F">
      <w:pPr>
        <w:spacing w:after="0"/>
        <w:ind w:right="-326"/>
        <w:jc w:val="both"/>
        <w:rPr>
          <w:rFonts w:cs="Arial"/>
        </w:rPr>
      </w:pPr>
      <w:r w:rsidRPr="002759A9">
        <w:rPr>
          <w:rFonts w:cs="Arial"/>
        </w:rPr>
        <w:t xml:space="preserve">Specific training required by service providers/contractors and campus companies is the responsibility of their respective employers and they must be adequately trained while on campus. In effect the service provider/contractor and others must ensure that their employees have been provided with the safety training set out in the tender such as </w:t>
      </w:r>
      <w:r w:rsidRPr="002759A9">
        <w:rPr>
          <w:rFonts w:cs="Arial"/>
          <w:u w:val="single"/>
        </w:rPr>
        <w:t>Safe Pass, manual handling, work at heights, confined space, Construction Skills Certification Scheme training</w:t>
      </w:r>
      <w:r w:rsidRPr="002759A9">
        <w:rPr>
          <w:rFonts w:cs="Arial"/>
        </w:rPr>
        <w:t xml:space="preserve"> etc. The </w:t>
      </w:r>
      <w:r>
        <w:rPr>
          <w:rFonts w:cs="Arial"/>
        </w:rPr>
        <w:t xml:space="preserve">TU Dublin host </w:t>
      </w:r>
      <w:r w:rsidRPr="002759A9">
        <w:rPr>
          <w:rFonts w:cs="Arial"/>
        </w:rPr>
        <w:t>ha</w:t>
      </w:r>
      <w:r>
        <w:rPr>
          <w:rFonts w:cs="Arial"/>
        </w:rPr>
        <w:t>s</w:t>
      </w:r>
      <w:r w:rsidRPr="002759A9">
        <w:rPr>
          <w:rFonts w:cs="Arial"/>
        </w:rPr>
        <w:t xml:space="preserve"> responsibility for </w:t>
      </w:r>
      <w:r>
        <w:rPr>
          <w:rFonts w:cs="Arial"/>
        </w:rPr>
        <w:t xml:space="preserve">ensuring that the contractor/service provider they wish to engage is provided a link for online training outlining hazards specific to our operations and safety measures in place. </w:t>
      </w:r>
    </w:p>
    <w:p w:rsidR="00E1118F" w:rsidRPr="00457E00" w:rsidRDefault="00E1118F" w:rsidP="00E1118F">
      <w:pPr>
        <w:spacing w:after="0"/>
        <w:ind w:right="-326"/>
        <w:rPr>
          <w:rFonts w:asciiTheme="majorHAnsi" w:hAnsiTheme="majorHAnsi" w:cstheme="majorHAnsi"/>
        </w:rPr>
      </w:pPr>
    </w:p>
    <w:p w:rsidR="00E1118F" w:rsidRPr="00457E00" w:rsidRDefault="00E1118F" w:rsidP="00E1118F">
      <w:pPr>
        <w:pStyle w:val="Heading2"/>
        <w:spacing w:before="0" w:after="0"/>
      </w:pPr>
      <w:bookmarkStart w:id="14" w:name="_Toc130312920"/>
      <w:bookmarkStart w:id="15" w:name="_Toc132693613"/>
      <w:r w:rsidRPr="00457E00">
        <w:t>Emergency First-Aid Training (One Day)</w:t>
      </w:r>
      <w:bookmarkEnd w:id="14"/>
      <w:bookmarkEnd w:id="15"/>
    </w:p>
    <w:p w:rsidR="00E1118F" w:rsidRPr="002759A9" w:rsidRDefault="00E1118F" w:rsidP="00E1118F">
      <w:pPr>
        <w:spacing w:after="0"/>
        <w:ind w:right="-326"/>
        <w:jc w:val="both"/>
        <w:rPr>
          <w:rFonts w:cs="Arial"/>
        </w:rPr>
      </w:pPr>
      <w:r>
        <w:rPr>
          <w:rFonts w:cs="Arial"/>
        </w:rPr>
        <w:t xml:space="preserve">All </w:t>
      </w:r>
      <w:r w:rsidRPr="002759A9">
        <w:rPr>
          <w:rFonts w:cs="Arial"/>
        </w:rPr>
        <w:t xml:space="preserve">employees who work in or supervise in kitchens, laboratories, workshops and other high-risk areas identified through risk assessments, must participate in the one-day emergency first-aid training course.  </w:t>
      </w:r>
      <w:bookmarkStart w:id="16" w:name="_Hlk130201017"/>
      <w:r w:rsidRPr="002759A9">
        <w:rPr>
          <w:rFonts w:cs="Arial"/>
        </w:rPr>
        <w:t xml:space="preserve">This course </w:t>
      </w:r>
      <w:r>
        <w:rPr>
          <w:rFonts w:cs="Arial"/>
        </w:rPr>
        <w:t xml:space="preserve">and refresher as required </w:t>
      </w:r>
      <w:r w:rsidRPr="002759A9">
        <w:rPr>
          <w:rFonts w:cs="Arial"/>
        </w:rPr>
        <w:t xml:space="preserve">is facilitated by the People Development Office. </w:t>
      </w:r>
    </w:p>
    <w:p w:rsidR="00E1118F" w:rsidRDefault="00E1118F" w:rsidP="00E1118F">
      <w:pPr>
        <w:spacing w:after="0"/>
        <w:ind w:left="48" w:right="-326"/>
        <w:jc w:val="both"/>
        <w:rPr>
          <w:rFonts w:asciiTheme="majorHAnsi" w:hAnsiTheme="majorHAnsi" w:cstheme="majorHAnsi"/>
        </w:rPr>
      </w:pPr>
    </w:p>
    <w:p w:rsidR="00E1118F" w:rsidRPr="009E6445" w:rsidRDefault="00E1118F" w:rsidP="00E1118F">
      <w:pPr>
        <w:pStyle w:val="Heading2"/>
        <w:spacing w:before="0" w:after="0"/>
        <w:rPr>
          <w:b w:val="0"/>
          <w:i/>
        </w:rPr>
      </w:pPr>
      <w:bookmarkStart w:id="17" w:name="_Hlk130299998"/>
      <w:bookmarkStart w:id="18" w:name="_Toc130312921"/>
      <w:bookmarkStart w:id="19" w:name="_Toc132693614"/>
      <w:bookmarkEnd w:id="16"/>
      <w:r>
        <w:t xml:space="preserve">First-aid Responder Training </w:t>
      </w:r>
      <w:bookmarkEnd w:id="17"/>
      <w:r>
        <w:t xml:space="preserve">(Three Day), </w:t>
      </w:r>
      <w:r w:rsidRPr="009E6445">
        <w:rPr>
          <w:b w:val="0"/>
          <w:i/>
        </w:rPr>
        <w:t>formerly Occupational First-aid</w:t>
      </w:r>
      <w:bookmarkEnd w:id="18"/>
      <w:bookmarkEnd w:id="19"/>
    </w:p>
    <w:p w:rsidR="00E1118F" w:rsidRDefault="00E1118F" w:rsidP="00E1118F">
      <w:pPr>
        <w:spacing w:after="0"/>
        <w:ind w:right="-326"/>
        <w:jc w:val="both"/>
        <w:rPr>
          <w:rFonts w:cs="Arial"/>
        </w:rPr>
      </w:pPr>
      <w:r>
        <w:rPr>
          <w:rFonts w:cs="Arial"/>
        </w:rPr>
        <w:t>Employers are required to:</w:t>
      </w:r>
    </w:p>
    <w:p w:rsidR="00E1118F" w:rsidRPr="00C40125" w:rsidRDefault="00E1118F" w:rsidP="00E1118F">
      <w:pPr>
        <w:pStyle w:val="ListParagraph"/>
        <w:numPr>
          <w:ilvl w:val="0"/>
          <w:numId w:val="1"/>
        </w:numPr>
        <w:spacing w:after="0"/>
        <w:ind w:right="-326"/>
        <w:jc w:val="both"/>
        <w:rPr>
          <w:rFonts w:cs="Arial"/>
        </w:rPr>
      </w:pPr>
      <w:r w:rsidRPr="00C40125">
        <w:rPr>
          <w:rFonts w:cs="Arial"/>
        </w:rPr>
        <w:t xml:space="preserve">Designate at each place of work under their control the number of occupational first-aiders as is necessary to give first-aid at the place of work concerned. </w:t>
      </w:r>
    </w:p>
    <w:p w:rsidR="00E1118F" w:rsidRPr="00C40125" w:rsidRDefault="00E1118F" w:rsidP="00E1118F">
      <w:pPr>
        <w:pStyle w:val="ListParagraph"/>
        <w:numPr>
          <w:ilvl w:val="0"/>
          <w:numId w:val="1"/>
        </w:numPr>
        <w:spacing w:after="0"/>
        <w:ind w:right="-326"/>
        <w:jc w:val="both"/>
        <w:rPr>
          <w:rFonts w:cs="Arial"/>
        </w:rPr>
      </w:pPr>
      <w:r w:rsidRPr="00C40125">
        <w:rPr>
          <w:rFonts w:cs="Arial"/>
        </w:rPr>
        <w:t>Ensure that the number of occupational first-aiders and their training is adequate</w:t>
      </w:r>
      <w:r>
        <w:rPr>
          <w:rStyle w:val="FootnoteReference"/>
          <w:rFonts w:cs="Arial"/>
        </w:rPr>
        <w:footnoteReference w:id="2"/>
      </w:r>
      <w:r w:rsidRPr="00C40125">
        <w:rPr>
          <w:rFonts w:cs="Arial"/>
        </w:rPr>
        <w:t xml:space="preserve">. </w:t>
      </w:r>
    </w:p>
    <w:p w:rsidR="00E1118F" w:rsidRDefault="00E1118F" w:rsidP="00E1118F">
      <w:pPr>
        <w:spacing w:after="0"/>
        <w:jc w:val="both"/>
        <w:rPr>
          <w:rFonts w:cs="Arial"/>
        </w:rPr>
      </w:pPr>
    </w:p>
    <w:p w:rsidR="00E1118F" w:rsidRPr="002759A9" w:rsidRDefault="00E1118F" w:rsidP="00E1118F">
      <w:pPr>
        <w:spacing w:after="0"/>
        <w:jc w:val="both"/>
        <w:rPr>
          <w:rFonts w:cs="Arial"/>
        </w:rPr>
      </w:pPr>
      <w:r w:rsidRPr="002759A9">
        <w:rPr>
          <w:rFonts w:cs="Arial"/>
        </w:rPr>
        <w:t xml:space="preserve">First-aid Responder training courses, accredited by the Pre-hospital Emergency Care Council (PHECC), will be run on a regular basis to ensure that there are a sufficient number of certified and designated first-aid responders on all campuses as determined by risk assessments. All certified first-aid responders must complete a </w:t>
      </w:r>
      <w:r w:rsidRPr="002759A9">
        <w:rPr>
          <w:rFonts w:cs="Arial"/>
          <w:u w:val="single"/>
        </w:rPr>
        <w:t>two-day refresher course every two years</w:t>
      </w:r>
      <w:r w:rsidRPr="002759A9">
        <w:rPr>
          <w:rFonts w:cs="Arial"/>
        </w:rPr>
        <w:t xml:space="preserve">. </w:t>
      </w:r>
    </w:p>
    <w:p w:rsidR="00E1118F" w:rsidRPr="00BF34CE" w:rsidRDefault="00E1118F" w:rsidP="00E1118F">
      <w:pPr>
        <w:jc w:val="both"/>
        <w:rPr>
          <w:rFonts w:cs="Arial"/>
        </w:rPr>
      </w:pPr>
      <w:r w:rsidRPr="002759A9">
        <w:rPr>
          <w:rFonts w:cs="Arial"/>
        </w:rPr>
        <w:t xml:space="preserve">Details of trained first-aid responders are published on the TU Dublin website. This course is </w:t>
      </w:r>
      <w:bookmarkStart w:id="20" w:name="_Hlk130201046"/>
      <w:r w:rsidRPr="002759A9">
        <w:rPr>
          <w:rFonts w:cs="Arial"/>
        </w:rPr>
        <w:t xml:space="preserve">facilitated by the People Development Office. </w:t>
      </w:r>
      <w:bookmarkEnd w:id="20"/>
    </w:p>
    <w:p w:rsidR="00E1118F" w:rsidRDefault="00E1118F" w:rsidP="00E1118F">
      <w:pPr>
        <w:pStyle w:val="Heading2"/>
        <w:spacing w:before="0" w:after="0"/>
      </w:pPr>
      <w:bookmarkStart w:id="21" w:name="_Toc130312922"/>
      <w:bookmarkStart w:id="22" w:name="_Toc132693615"/>
      <w:r>
        <w:t>AED/CPR training</w:t>
      </w:r>
      <w:bookmarkEnd w:id="21"/>
      <w:bookmarkEnd w:id="22"/>
      <w:r>
        <w:t xml:space="preserve"> </w:t>
      </w:r>
    </w:p>
    <w:p w:rsidR="00E1118F" w:rsidRDefault="00E1118F" w:rsidP="00E1118F">
      <w:pPr>
        <w:spacing w:after="0"/>
        <w:jc w:val="both"/>
        <w:rPr>
          <w:rFonts w:cs="Arial"/>
        </w:rPr>
      </w:pPr>
      <w:r w:rsidRPr="002759A9">
        <w:rPr>
          <w:rFonts w:cs="Arial"/>
        </w:rPr>
        <w:t>The Irish Heart Foundation’s Heartsaver CPR AED Course teaches cardiopulmonary resuscitation (CPR) and how to use an Automated External Defibrillator (AED).</w:t>
      </w:r>
    </w:p>
    <w:p w:rsidR="00E1118F" w:rsidRDefault="00E1118F" w:rsidP="00E1118F">
      <w:pPr>
        <w:spacing w:after="0"/>
        <w:jc w:val="both"/>
        <w:rPr>
          <w:rFonts w:cs="Arial"/>
        </w:rPr>
      </w:pPr>
    </w:p>
    <w:p w:rsidR="00E1118F" w:rsidRDefault="00E1118F" w:rsidP="00E1118F">
      <w:pPr>
        <w:spacing w:after="0"/>
        <w:jc w:val="both"/>
        <w:rPr>
          <w:rFonts w:cs="Arial"/>
        </w:rPr>
      </w:pPr>
      <w:r w:rsidRPr="0059792D">
        <w:rPr>
          <w:rFonts w:cs="Arial"/>
        </w:rPr>
        <w:t xml:space="preserve">This course is open to all staff members and Postgraduate Students who wish to know how to </w:t>
      </w:r>
      <w:r>
        <w:rPr>
          <w:rFonts w:cs="Arial"/>
        </w:rPr>
        <w:t xml:space="preserve">perform CPR and </w:t>
      </w:r>
      <w:r w:rsidRPr="0059792D">
        <w:rPr>
          <w:rFonts w:cs="Arial"/>
        </w:rPr>
        <w:t>use the Automated External Defibrillators (AED’s)</w:t>
      </w:r>
      <w:r>
        <w:rPr>
          <w:rFonts w:cs="Arial"/>
        </w:rPr>
        <w:t xml:space="preserve"> </w:t>
      </w:r>
      <w:r w:rsidRPr="0059792D">
        <w:rPr>
          <w:rFonts w:cs="Arial"/>
        </w:rPr>
        <w:t xml:space="preserve"> which are located around the campus. </w:t>
      </w:r>
    </w:p>
    <w:p w:rsidR="00E1118F" w:rsidRPr="002759A9" w:rsidRDefault="00E1118F" w:rsidP="00E1118F">
      <w:pPr>
        <w:spacing w:after="0"/>
        <w:jc w:val="both"/>
        <w:rPr>
          <w:rFonts w:cs="Arial"/>
        </w:rPr>
      </w:pPr>
    </w:p>
    <w:p w:rsidR="00E1118F" w:rsidRPr="002759A9" w:rsidRDefault="00E1118F" w:rsidP="00E1118F">
      <w:pPr>
        <w:jc w:val="both"/>
        <w:rPr>
          <w:rFonts w:cs="Arial"/>
        </w:rPr>
      </w:pPr>
      <w:r w:rsidRPr="002759A9">
        <w:rPr>
          <w:rFonts w:cs="Arial"/>
        </w:rPr>
        <w:t>The complete Heartsaver AED Course takes approximately 3 hours and teaches the basic techniques of CPR, how to use an Automated External Defibrillator (AED) and the relief of choking for adults, children and infants.</w:t>
      </w:r>
    </w:p>
    <w:p w:rsidR="00E1118F" w:rsidRPr="00BF34CE" w:rsidRDefault="00E1118F" w:rsidP="00E1118F">
      <w:pPr>
        <w:jc w:val="both"/>
        <w:rPr>
          <w:rFonts w:cs="Arial"/>
        </w:rPr>
      </w:pPr>
      <w:r w:rsidRPr="002759A9">
        <w:rPr>
          <w:rFonts w:cs="Arial"/>
        </w:rPr>
        <w:t xml:space="preserve">Participants who can demonstrate high quality CPR at the end of the course will receive an IHF/AHA Heartsaver AED course completion card which is </w:t>
      </w:r>
      <w:r w:rsidRPr="002759A9">
        <w:rPr>
          <w:rFonts w:cs="Arial"/>
          <w:u w:val="single"/>
        </w:rPr>
        <w:t>valid for two years.</w:t>
      </w:r>
    </w:p>
    <w:p w:rsidR="00E1118F" w:rsidRPr="00457E00" w:rsidRDefault="00E1118F" w:rsidP="00E1118F">
      <w:pPr>
        <w:pStyle w:val="Heading2"/>
        <w:spacing w:before="0" w:after="0"/>
      </w:pPr>
      <w:bookmarkStart w:id="23" w:name="_Toc130312923"/>
      <w:bookmarkStart w:id="24" w:name="_Toc132693616"/>
      <w:r w:rsidRPr="00457E00">
        <w:t xml:space="preserve">Training for </w:t>
      </w:r>
      <w:r>
        <w:t xml:space="preserve">Campus </w:t>
      </w:r>
      <w:r w:rsidRPr="00457E00">
        <w:t>Safety</w:t>
      </w:r>
      <w:r>
        <w:t>, Health and Welfare</w:t>
      </w:r>
      <w:r w:rsidRPr="00457E00">
        <w:t xml:space="preserve"> </w:t>
      </w:r>
      <w:r>
        <w:t>Committees</w:t>
      </w:r>
      <w:r w:rsidRPr="00457E00">
        <w:t>, and Designated Safety Representatives</w:t>
      </w:r>
      <w:bookmarkEnd w:id="23"/>
      <w:bookmarkEnd w:id="24"/>
    </w:p>
    <w:p w:rsidR="00E1118F" w:rsidRDefault="00E1118F" w:rsidP="00E1118F">
      <w:pPr>
        <w:spacing w:after="0"/>
        <w:ind w:right="-326"/>
        <w:jc w:val="both"/>
        <w:rPr>
          <w:rFonts w:cs="Arial"/>
        </w:rPr>
      </w:pPr>
      <w:r w:rsidRPr="002759A9">
        <w:rPr>
          <w:rFonts w:cs="Arial"/>
        </w:rPr>
        <w:t xml:space="preserve">Appropriate training will be provided to members of </w:t>
      </w:r>
      <w:r>
        <w:rPr>
          <w:rFonts w:cs="Arial"/>
        </w:rPr>
        <w:t>SHW Campus</w:t>
      </w:r>
      <w:r w:rsidRPr="002759A9">
        <w:rPr>
          <w:rFonts w:cs="Arial"/>
        </w:rPr>
        <w:t xml:space="preserve"> </w:t>
      </w:r>
      <w:r>
        <w:rPr>
          <w:rFonts w:cs="Arial"/>
        </w:rPr>
        <w:t>C</w:t>
      </w:r>
      <w:r w:rsidRPr="002759A9">
        <w:rPr>
          <w:rFonts w:cs="Arial"/>
        </w:rPr>
        <w:t>ommittees and statutory safety representatives and others as determined by risk assessment. These will be facilitated by the People Development Office and the Safe</w:t>
      </w:r>
      <w:r>
        <w:rPr>
          <w:rFonts w:cs="Arial"/>
        </w:rPr>
        <w:t xml:space="preserve">ty, Health and Welfare Office. </w:t>
      </w:r>
    </w:p>
    <w:p w:rsidR="00E1118F" w:rsidRPr="002759A9" w:rsidRDefault="00E1118F" w:rsidP="00E1118F">
      <w:pPr>
        <w:spacing w:after="0"/>
        <w:ind w:right="-326"/>
        <w:rPr>
          <w:rFonts w:cs="Arial"/>
        </w:rPr>
      </w:pPr>
    </w:p>
    <w:p w:rsidR="00E1118F" w:rsidRDefault="00E1118F" w:rsidP="00E1118F">
      <w:pPr>
        <w:pStyle w:val="Heading2"/>
        <w:spacing w:before="0" w:after="0"/>
      </w:pPr>
      <w:bookmarkStart w:id="25" w:name="_Toc130312924"/>
      <w:bookmarkStart w:id="26" w:name="_Toc132693617"/>
      <w:r>
        <w:t>Training of Emergency Response Teams</w:t>
      </w:r>
      <w:bookmarkEnd w:id="25"/>
      <w:bookmarkEnd w:id="26"/>
    </w:p>
    <w:p w:rsidR="00E1118F" w:rsidRPr="004C56CA" w:rsidRDefault="00E1118F" w:rsidP="00E1118F">
      <w:pPr>
        <w:spacing w:after="0"/>
        <w:jc w:val="both"/>
        <w:rPr>
          <w:rFonts w:cs="Arial"/>
          <w:szCs w:val="20"/>
        </w:rPr>
      </w:pPr>
      <w:r w:rsidRPr="00EC6964">
        <w:rPr>
          <w:rFonts w:cs="Arial"/>
          <w:szCs w:val="20"/>
        </w:rPr>
        <w:t>Appropriate training will be provided to all members of Campus Emergency Response Teams</w:t>
      </w:r>
      <w:r w:rsidRPr="004C56CA">
        <w:rPr>
          <w:rFonts w:cs="Arial"/>
          <w:szCs w:val="20"/>
        </w:rPr>
        <w:t xml:space="preserve">. This will be facilitated by the Safety, Health and Welfare Office and external provider where required. </w:t>
      </w:r>
    </w:p>
    <w:p w:rsidR="00E1118F" w:rsidRDefault="00E1118F" w:rsidP="00E1118F">
      <w:pPr>
        <w:rPr>
          <w:rFonts w:ascii="Arial Bold" w:eastAsiaTheme="majorEastAsia" w:hAnsi="Arial Bold" w:cstheme="majorBidi"/>
          <w:b/>
          <w:smallCaps/>
          <w:color w:val="00A9B7"/>
        </w:rPr>
      </w:pPr>
    </w:p>
    <w:p w:rsidR="00E1118F" w:rsidRDefault="00E1118F" w:rsidP="00E1118F">
      <w:pPr>
        <w:rPr>
          <w:rFonts w:ascii="Arial Bold" w:eastAsiaTheme="majorEastAsia" w:hAnsi="Arial Bold" w:cstheme="majorBidi"/>
          <w:b/>
          <w:smallCaps/>
          <w:color w:val="00A9B7"/>
        </w:rPr>
      </w:pPr>
    </w:p>
    <w:p w:rsidR="00E1118F" w:rsidRPr="00B53AF1" w:rsidRDefault="00E1118F" w:rsidP="00E1118F">
      <w:pPr>
        <w:rPr>
          <w:rFonts w:ascii="Arial Bold" w:eastAsiaTheme="majorEastAsia" w:hAnsi="Arial Bold" w:cstheme="majorBidi"/>
          <w:b/>
          <w:smallCaps/>
          <w:color w:val="00A9B7"/>
        </w:rPr>
      </w:pPr>
    </w:p>
    <w:p w:rsidR="00E1118F" w:rsidRPr="00C40125" w:rsidRDefault="00E1118F" w:rsidP="00E1118F">
      <w:pPr>
        <w:autoSpaceDE w:val="0"/>
        <w:autoSpaceDN w:val="0"/>
        <w:adjustRightInd w:val="0"/>
        <w:spacing w:after="0"/>
        <w:jc w:val="both"/>
        <w:rPr>
          <w:rFonts w:eastAsiaTheme="majorEastAsia" w:cstheme="majorBidi"/>
          <w:b/>
          <w:color w:val="00A9B7"/>
          <w:sz w:val="24"/>
        </w:rPr>
      </w:pPr>
      <w:r>
        <w:rPr>
          <w:rFonts w:eastAsiaTheme="majorEastAsia" w:cstheme="majorBidi"/>
          <w:b/>
          <w:color w:val="00A9B7"/>
          <w:sz w:val="24"/>
        </w:rPr>
        <w:t xml:space="preserve">7.3 </w:t>
      </w:r>
      <w:r w:rsidRPr="002759A9">
        <w:rPr>
          <w:rFonts w:eastAsiaTheme="majorEastAsia" w:cstheme="majorBidi"/>
          <w:b/>
          <w:color w:val="00A9B7"/>
          <w:sz w:val="24"/>
        </w:rPr>
        <w:t xml:space="preserve">Overview and frequency </w:t>
      </w:r>
      <w:r>
        <w:rPr>
          <w:rFonts w:eastAsiaTheme="majorEastAsia" w:cstheme="majorBidi"/>
          <w:b/>
          <w:color w:val="00A9B7"/>
          <w:sz w:val="24"/>
        </w:rPr>
        <w:t>of required training</w:t>
      </w:r>
    </w:p>
    <w:p w:rsidR="00E1118F" w:rsidRDefault="00E1118F" w:rsidP="00E1118F">
      <w:pPr>
        <w:pStyle w:val="Heading3"/>
      </w:pPr>
      <w:bookmarkStart w:id="27" w:name="_Toc130312931"/>
      <w:bookmarkStart w:id="28" w:name="_Toc132693618"/>
      <w:bookmarkStart w:id="29" w:name="_Hlk130301772"/>
      <w:r>
        <w:t>Required SHW Training for all employees</w:t>
      </w:r>
      <w:bookmarkEnd w:id="27"/>
      <w:bookmarkEnd w:id="28"/>
    </w:p>
    <w:tbl>
      <w:tblPr>
        <w:tblStyle w:val="TableGrid"/>
        <w:tblW w:w="9209" w:type="dxa"/>
        <w:tblLook w:val="04A0" w:firstRow="1" w:lastRow="0" w:firstColumn="1" w:lastColumn="0" w:noHBand="0" w:noVBand="1"/>
      </w:tblPr>
      <w:tblGrid>
        <w:gridCol w:w="2689"/>
        <w:gridCol w:w="1842"/>
        <w:gridCol w:w="1418"/>
        <w:gridCol w:w="1559"/>
        <w:gridCol w:w="1701"/>
      </w:tblGrid>
      <w:tr w:rsidR="00E1118F" w:rsidTr="00E04A12">
        <w:tc>
          <w:tcPr>
            <w:tcW w:w="2689" w:type="dxa"/>
            <w:vMerge w:val="restart"/>
          </w:tcPr>
          <w:p w:rsidR="00E1118F" w:rsidRPr="00E84CD9" w:rsidRDefault="00E1118F" w:rsidP="00E04A12">
            <w:pPr>
              <w:spacing w:after="365" w:line="265" w:lineRule="auto"/>
              <w:ind w:right="-449"/>
              <w:jc w:val="center"/>
              <w:rPr>
                <w:b/>
              </w:rPr>
            </w:pPr>
            <w:r w:rsidRPr="00E84CD9">
              <w:rPr>
                <w:b/>
              </w:rPr>
              <w:t>Training</w:t>
            </w:r>
          </w:p>
        </w:tc>
        <w:tc>
          <w:tcPr>
            <w:tcW w:w="1842" w:type="dxa"/>
            <w:vMerge w:val="restart"/>
          </w:tcPr>
          <w:p w:rsidR="00E1118F" w:rsidRDefault="00E1118F" w:rsidP="00E04A12">
            <w:pPr>
              <w:contextualSpacing/>
              <w:rPr>
                <w:b/>
              </w:rPr>
            </w:pPr>
            <w:r w:rsidRPr="00E84CD9">
              <w:rPr>
                <w:b/>
              </w:rPr>
              <w:t xml:space="preserve">Refresher </w:t>
            </w:r>
          </w:p>
          <w:p w:rsidR="00E1118F" w:rsidRPr="00E84CD9" w:rsidRDefault="00E1118F" w:rsidP="00E04A12">
            <w:pPr>
              <w:contextualSpacing/>
              <w:rPr>
                <w:b/>
              </w:rPr>
            </w:pPr>
            <w:r w:rsidRPr="00E84CD9">
              <w:rPr>
                <w:b/>
              </w:rPr>
              <w:t>timeline</w:t>
            </w:r>
          </w:p>
        </w:tc>
        <w:tc>
          <w:tcPr>
            <w:tcW w:w="4678" w:type="dxa"/>
            <w:gridSpan w:val="3"/>
          </w:tcPr>
          <w:p w:rsidR="00E1118F" w:rsidRPr="00E84CD9" w:rsidRDefault="00E1118F" w:rsidP="00E04A12">
            <w:pPr>
              <w:spacing w:after="365" w:line="265" w:lineRule="auto"/>
              <w:ind w:right="-449"/>
              <w:jc w:val="center"/>
              <w:rPr>
                <w:b/>
              </w:rPr>
            </w:pPr>
            <w:r w:rsidRPr="00E84CD9">
              <w:rPr>
                <w:b/>
              </w:rPr>
              <w:t xml:space="preserve">Training </w:t>
            </w:r>
            <w:r>
              <w:rPr>
                <w:b/>
              </w:rPr>
              <w:t>Mode</w:t>
            </w:r>
          </w:p>
        </w:tc>
      </w:tr>
      <w:tr w:rsidR="00E1118F" w:rsidTr="00E04A12">
        <w:tc>
          <w:tcPr>
            <w:tcW w:w="2689" w:type="dxa"/>
            <w:vMerge/>
          </w:tcPr>
          <w:p w:rsidR="00E1118F" w:rsidRPr="00E84CD9" w:rsidRDefault="00E1118F" w:rsidP="00E04A12">
            <w:pPr>
              <w:spacing w:after="365" w:line="265" w:lineRule="auto"/>
              <w:ind w:right="-449"/>
              <w:jc w:val="center"/>
              <w:rPr>
                <w:b/>
              </w:rPr>
            </w:pPr>
          </w:p>
        </w:tc>
        <w:tc>
          <w:tcPr>
            <w:tcW w:w="1842" w:type="dxa"/>
            <w:vMerge/>
          </w:tcPr>
          <w:p w:rsidR="00E1118F" w:rsidRPr="00E84CD9" w:rsidRDefault="00E1118F" w:rsidP="00E04A12">
            <w:pPr>
              <w:spacing w:after="365" w:line="265" w:lineRule="auto"/>
              <w:ind w:right="-449"/>
              <w:jc w:val="center"/>
              <w:rPr>
                <w:b/>
              </w:rPr>
            </w:pPr>
          </w:p>
        </w:tc>
        <w:tc>
          <w:tcPr>
            <w:tcW w:w="1418" w:type="dxa"/>
          </w:tcPr>
          <w:p w:rsidR="00E1118F" w:rsidRPr="00E84CD9" w:rsidRDefault="00E1118F" w:rsidP="00E04A12">
            <w:pPr>
              <w:spacing w:after="365" w:line="265" w:lineRule="auto"/>
              <w:ind w:right="-449"/>
              <w:rPr>
                <w:b/>
                <w:sz w:val="18"/>
              </w:rPr>
            </w:pPr>
            <w:r w:rsidRPr="00E84CD9">
              <w:rPr>
                <w:b/>
                <w:sz w:val="18"/>
              </w:rPr>
              <w:t>Online</w:t>
            </w:r>
          </w:p>
        </w:tc>
        <w:tc>
          <w:tcPr>
            <w:tcW w:w="1559" w:type="dxa"/>
          </w:tcPr>
          <w:p w:rsidR="00E1118F" w:rsidRPr="00E84CD9" w:rsidRDefault="00E1118F" w:rsidP="00E04A12">
            <w:pPr>
              <w:spacing w:after="365" w:line="265" w:lineRule="auto"/>
              <w:ind w:right="-449"/>
              <w:rPr>
                <w:b/>
                <w:sz w:val="18"/>
              </w:rPr>
            </w:pPr>
            <w:r w:rsidRPr="00E84CD9">
              <w:rPr>
                <w:b/>
                <w:sz w:val="18"/>
              </w:rPr>
              <w:t>SHW Office</w:t>
            </w:r>
          </w:p>
        </w:tc>
        <w:tc>
          <w:tcPr>
            <w:tcW w:w="1701" w:type="dxa"/>
          </w:tcPr>
          <w:p w:rsidR="00E1118F" w:rsidRPr="00E84CD9" w:rsidRDefault="00E1118F" w:rsidP="00E04A12">
            <w:pPr>
              <w:spacing w:after="365" w:line="265" w:lineRule="auto"/>
              <w:ind w:right="-449"/>
              <w:rPr>
                <w:b/>
                <w:sz w:val="18"/>
              </w:rPr>
            </w:pPr>
            <w:r>
              <w:rPr>
                <w:b/>
                <w:sz w:val="18"/>
              </w:rPr>
              <w:t>*</w:t>
            </w:r>
            <w:r w:rsidRPr="00E84CD9">
              <w:rPr>
                <w:b/>
                <w:sz w:val="18"/>
              </w:rPr>
              <w:t>External Provider</w:t>
            </w:r>
          </w:p>
        </w:tc>
      </w:tr>
      <w:tr w:rsidR="00E1118F" w:rsidRPr="008C18A2" w:rsidTr="00E04A12">
        <w:tc>
          <w:tcPr>
            <w:tcW w:w="2689" w:type="dxa"/>
          </w:tcPr>
          <w:p w:rsidR="00E1118F" w:rsidRPr="007A6338" w:rsidRDefault="00E1118F" w:rsidP="00E04A12">
            <w:pPr>
              <w:spacing w:line="265" w:lineRule="auto"/>
              <w:ind w:right="-449"/>
              <w:rPr>
                <w:rFonts w:asciiTheme="majorHAnsi" w:hAnsiTheme="majorHAnsi" w:cstheme="majorHAnsi"/>
                <w:sz w:val="18"/>
                <w:szCs w:val="18"/>
              </w:rPr>
            </w:pPr>
            <w:r w:rsidRPr="007A6338">
              <w:rPr>
                <w:rFonts w:asciiTheme="majorHAnsi" w:hAnsiTheme="majorHAnsi" w:cstheme="majorHAnsi"/>
                <w:sz w:val="18"/>
                <w:szCs w:val="18"/>
              </w:rPr>
              <w:t xml:space="preserve">Induction Training </w:t>
            </w:r>
          </w:p>
        </w:tc>
        <w:tc>
          <w:tcPr>
            <w:tcW w:w="1842" w:type="dxa"/>
          </w:tcPr>
          <w:p w:rsidR="00E1118F" w:rsidRDefault="00E1118F" w:rsidP="00E04A12">
            <w:pPr>
              <w:spacing w:line="265" w:lineRule="auto"/>
              <w:ind w:right="-449"/>
              <w:rPr>
                <w:rFonts w:asciiTheme="majorHAnsi" w:hAnsiTheme="majorHAnsi" w:cstheme="majorHAnsi"/>
                <w:sz w:val="18"/>
                <w:szCs w:val="18"/>
              </w:rPr>
            </w:pPr>
            <w:r w:rsidRPr="007A6338">
              <w:rPr>
                <w:rFonts w:asciiTheme="majorHAnsi" w:hAnsiTheme="majorHAnsi" w:cstheme="majorHAnsi"/>
                <w:sz w:val="18"/>
                <w:szCs w:val="18"/>
              </w:rPr>
              <w:t>On commencement of</w:t>
            </w:r>
          </w:p>
          <w:p w:rsidR="00E1118F" w:rsidRPr="007A6338" w:rsidRDefault="00E1118F" w:rsidP="00E04A12">
            <w:pPr>
              <w:spacing w:line="265" w:lineRule="auto"/>
              <w:ind w:right="-449"/>
              <w:rPr>
                <w:rFonts w:asciiTheme="majorHAnsi" w:hAnsiTheme="majorHAnsi" w:cstheme="majorHAnsi"/>
                <w:sz w:val="18"/>
                <w:szCs w:val="18"/>
              </w:rPr>
            </w:pPr>
            <w:r w:rsidRPr="007A6338">
              <w:rPr>
                <w:rFonts w:asciiTheme="majorHAnsi" w:hAnsiTheme="majorHAnsi" w:cstheme="majorHAnsi"/>
                <w:sz w:val="18"/>
                <w:szCs w:val="18"/>
              </w:rPr>
              <w:t>a new</w:t>
            </w:r>
            <w:r>
              <w:rPr>
                <w:rFonts w:asciiTheme="majorHAnsi" w:hAnsiTheme="majorHAnsi" w:cstheme="majorHAnsi"/>
                <w:sz w:val="18"/>
                <w:szCs w:val="18"/>
              </w:rPr>
              <w:t xml:space="preserve"> </w:t>
            </w:r>
            <w:r w:rsidRPr="007A6338">
              <w:rPr>
                <w:rFonts w:asciiTheme="majorHAnsi" w:hAnsiTheme="majorHAnsi" w:cstheme="majorHAnsi"/>
                <w:sz w:val="18"/>
                <w:szCs w:val="18"/>
              </w:rPr>
              <w:t>role</w:t>
            </w:r>
          </w:p>
        </w:tc>
        <w:tc>
          <w:tcPr>
            <w:tcW w:w="1418" w:type="dxa"/>
            <w:shd w:val="clear" w:color="auto" w:fill="8EAADB" w:themeFill="accent5" w:themeFillTint="99"/>
          </w:tcPr>
          <w:p w:rsidR="00E1118F" w:rsidRPr="008C18A2" w:rsidRDefault="00E1118F" w:rsidP="00E04A12">
            <w:pPr>
              <w:spacing w:line="265" w:lineRule="auto"/>
              <w:ind w:right="-449"/>
              <w:rPr>
                <w:rFonts w:asciiTheme="majorHAnsi" w:hAnsiTheme="majorHAnsi" w:cstheme="majorHAnsi"/>
              </w:rPr>
            </w:pPr>
          </w:p>
        </w:tc>
        <w:tc>
          <w:tcPr>
            <w:tcW w:w="1559" w:type="dxa"/>
            <w:shd w:val="clear" w:color="auto" w:fill="8EAADB" w:themeFill="accent5" w:themeFillTint="99"/>
          </w:tcPr>
          <w:p w:rsidR="00E1118F" w:rsidRPr="008C18A2" w:rsidRDefault="00E1118F" w:rsidP="00E04A12">
            <w:pPr>
              <w:spacing w:line="265" w:lineRule="auto"/>
              <w:ind w:right="-449"/>
              <w:rPr>
                <w:rFonts w:asciiTheme="majorHAnsi" w:hAnsiTheme="majorHAnsi" w:cstheme="majorHAnsi"/>
              </w:rPr>
            </w:pPr>
          </w:p>
        </w:tc>
        <w:tc>
          <w:tcPr>
            <w:tcW w:w="1701" w:type="dxa"/>
          </w:tcPr>
          <w:p w:rsidR="00E1118F" w:rsidRPr="008C18A2" w:rsidRDefault="00E1118F" w:rsidP="00E04A12">
            <w:pPr>
              <w:spacing w:line="265" w:lineRule="auto"/>
              <w:ind w:right="-449"/>
              <w:rPr>
                <w:rFonts w:asciiTheme="majorHAnsi" w:hAnsiTheme="majorHAnsi" w:cstheme="majorHAnsi"/>
              </w:rPr>
            </w:pPr>
          </w:p>
        </w:tc>
      </w:tr>
      <w:tr w:rsidR="00E1118F" w:rsidRPr="008C18A2" w:rsidTr="00E04A12">
        <w:tc>
          <w:tcPr>
            <w:tcW w:w="2689" w:type="dxa"/>
          </w:tcPr>
          <w:p w:rsidR="00E1118F" w:rsidRPr="007A6338" w:rsidRDefault="00E1118F" w:rsidP="00E04A12">
            <w:pPr>
              <w:spacing w:line="265" w:lineRule="auto"/>
              <w:ind w:right="-449"/>
              <w:rPr>
                <w:rFonts w:asciiTheme="majorHAnsi" w:hAnsiTheme="majorHAnsi" w:cstheme="majorHAnsi"/>
                <w:sz w:val="18"/>
                <w:szCs w:val="18"/>
              </w:rPr>
            </w:pPr>
            <w:r w:rsidRPr="007A6338">
              <w:rPr>
                <w:rFonts w:asciiTheme="majorHAnsi" w:hAnsiTheme="majorHAnsi" w:cstheme="majorHAnsi"/>
                <w:sz w:val="18"/>
                <w:szCs w:val="18"/>
              </w:rPr>
              <w:t>Emergency Response Training</w:t>
            </w:r>
          </w:p>
          <w:p w:rsidR="00E1118F" w:rsidRPr="007A6338" w:rsidRDefault="00E1118F" w:rsidP="00E04A12">
            <w:pPr>
              <w:spacing w:line="265" w:lineRule="auto"/>
              <w:ind w:right="-449"/>
              <w:rPr>
                <w:rFonts w:asciiTheme="majorHAnsi" w:hAnsiTheme="majorHAnsi" w:cstheme="majorHAnsi"/>
                <w:sz w:val="18"/>
                <w:szCs w:val="18"/>
              </w:rPr>
            </w:pPr>
            <w:r w:rsidRPr="007A6338">
              <w:rPr>
                <w:rFonts w:asciiTheme="majorHAnsi" w:hAnsiTheme="majorHAnsi" w:cstheme="majorHAnsi"/>
                <w:sz w:val="18"/>
                <w:szCs w:val="18"/>
              </w:rPr>
              <w:t xml:space="preserve">  (including fire safety)</w:t>
            </w:r>
          </w:p>
        </w:tc>
        <w:tc>
          <w:tcPr>
            <w:tcW w:w="1842" w:type="dxa"/>
          </w:tcPr>
          <w:p w:rsidR="00E1118F" w:rsidRPr="007A6338" w:rsidRDefault="00E1118F" w:rsidP="00E04A12">
            <w:pPr>
              <w:spacing w:line="265" w:lineRule="auto"/>
              <w:ind w:right="-449"/>
              <w:rPr>
                <w:rFonts w:asciiTheme="majorHAnsi" w:hAnsiTheme="majorHAnsi" w:cstheme="majorHAnsi"/>
                <w:sz w:val="18"/>
                <w:szCs w:val="18"/>
              </w:rPr>
            </w:pPr>
            <w:r w:rsidRPr="007A6338">
              <w:rPr>
                <w:rFonts w:asciiTheme="majorHAnsi" w:hAnsiTheme="majorHAnsi" w:cstheme="majorHAnsi"/>
                <w:sz w:val="18"/>
                <w:szCs w:val="18"/>
              </w:rPr>
              <w:t xml:space="preserve">Every </w:t>
            </w:r>
            <w:r>
              <w:rPr>
                <w:rFonts w:asciiTheme="majorHAnsi" w:hAnsiTheme="majorHAnsi" w:cstheme="majorHAnsi"/>
                <w:sz w:val="18"/>
                <w:szCs w:val="18"/>
              </w:rPr>
              <w:t>t</w:t>
            </w:r>
            <w:r w:rsidRPr="007A6338">
              <w:rPr>
                <w:rFonts w:asciiTheme="majorHAnsi" w:hAnsiTheme="majorHAnsi" w:cstheme="majorHAnsi"/>
                <w:sz w:val="18"/>
                <w:szCs w:val="18"/>
              </w:rPr>
              <w:t>hree years</w:t>
            </w:r>
          </w:p>
        </w:tc>
        <w:tc>
          <w:tcPr>
            <w:tcW w:w="1418" w:type="dxa"/>
            <w:shd w:val="clear" w:color="auto" w:fill="8EAADB" w:themeFill="accent5" w:themeFillTint="99"/>
          </w:tcPr>
          <w:p w:rsidR="00E1118F" w:rsidRPr="008C18A2" w:rsidRDefault="00E1118F" w:rsidP="00E04A12">
            <w:pPr>
              <w:spacing w:line="265" w:lineRule="auto"/>
              <w:ind w:right="-449"/>
              <w:rPr>
                <w:rFonts w:asciiTheme="majorHAnsi" w:hAnsiTheme="majorHAnsi" w:cstheme="majorHAnsi"/>
              </w:rPr>
            </w:pPr>
          </w:p>
        </w:tc>
        <w:tc>
          <w:tcPr>
            <w:tcW w:w="1559" w:type="dxa"/>
          </w:tcPr>
          <w:p w:rsidR="00E1118F" w:rsidRPr="008C18A2" w:rsidRDefault="00E1118F" w:rsidP="00E04A12">
            <w:pPr>
              <w:spacing w:line="265" w:lineRule="auto"/>
              <w:ind w:right="-449"/>
              <w:rPr>
                <w:rFonts w:asciiTheme="majorHAnsi" w:hAnsiTheme="majorHAnsi" w:cstheme="majorHAnsi"/>
              </w:rPr>
            </w:pPr>
          </w:p>
        </w:tc>
        <w:tc>
          <w:tcPr>
            <w:tcW w:w="1701" w:type="dxa"/>
          </w:tcPr>
          <w:p w:rsidR="00E1118F" w:rsidRPr="008C18A2" w:rsidRDefault="00E1118F" w:rsidP="00E04A12">
            <w:pPr>
              <w:spacing w:line="265" w:lineRule="auto"/>
              <w:ind w:right="-449"/>
              <w:rPr>
                <w:rFonts w:asciiTheme="majorHAnsi" w:hAnsiTheme="majorHAnsi" w:cstheme="majorHAnsi"/>
              </w:rPr>
            </w:pPr>
          </w:p>
        </w:tc>
      </w:tr>
      <w:tr w:rsidR="00E1118F" w:rsidRPr="008C18A2" w:rsidTr="00E04A12">
        <w:tc>
          <w:tcPr>
            <w:tcW w:w="2689"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Manual handling video</w:t>
            </w:r>
          </w:p>
        </w:tc>
        <w:tc>
          <w:tcPr>
            <w:tcW w:w="1842" w:type="dxa"/>
          </w:tcPr>
          <w:p w:rsidR="00E1118F" w:rsidRPr="007A6338" w:rsidRDefault="00E1118F" w:rsidP="00E04A12">
            <w:pPr>
              <w:spacing w:line="265" w:lineRule="auto"/>
              <w:ind w:right="-449"/>
              <w:rPr>
                <w:rFonts w:asciiTheme="majorHAnsi" w:hAnsiTheme="majorHAnsi" w:cstheme="majorHAnsi"/>
                <w:sz w:val="18"/>
                <w:szCs w:val="18"/>
              </w:rPr>
            </w:pPr>
            <w:r w:rsidRPr="007A6338">
              <w:rPr>
                <w:rFonts w:asciiTheme="majorHAnsi" w:hAnsiTheme="majorHAnsi" w:cstheme="majorHAnsi"/>
                <w:sz w:val="18"/>
                <w:szCs w:val="18"/>
              </w:rPr>
              <w:t xml:space="preserve">Every </w:t>
            </w:r>
            <w:r>
              <w:rPr>
                <w:rFonts w:asciiTheme="majorHAnsi" w:hAnsiTheme="majorHAnsi" w:cstheme="majorHAnsi"/>
                <w:sz w:val="18"/>
                <w:szCs w:val="18"/>
              </w:rPr>
              <w:t>t</w:t>
            </w:r>
            <w:r w:rsidRPr="007A6338">
              <w:rPr>
                <w:rFonts w:asciiTheme="majorHAnsi" w:hAnsiTheme="majorHAnsi" w:cstheme="majorHAnsi"/>
                <w:sz w:val="18"/>
                <w:szCs w:val="18"/>
              </w:rPr>
              <w:t>hree years</w:t>
            </w:r>
          </w:p>
        </w:tc>
        <w:tc>
          <w:tcPr>
            <w:tcW w:w="1418" w:type="dxa"/>
            <w:shd w:val="clear" w:color="auto" w:fill="8EAADB" w:themeFill="accent5" w:themeFillTint="99"/>
          </w:tcPr>
          <w:p w:rsidR="00E1118F" w:rsidRPr="008C18A2" w:rsidRDefault="00E1118F" w:rsidP="00E04A12">
            <w:pPr>
              <w:spacing w:line="265" w:lineRule="auto"/>
              <w:ind w:right="-449"/>
              <w:rPr>
                <w:rFonts w:asciiTheme="majorHAnsi" w:hAnsiTheme="majorHAnsi" w:cstheme="majorHAnsi"/>
              </w:rPr>
            </w:pPr>
          </w:p>
        </w:tc>
        <w:tc>
          <w:tcPr>
            <w:tcW w:w="1559" w:type="dxa"/>
            <w:shd w:val="clear" w:color="auto" w:fill="FFFFFF" w:themeFill="background1"/>
          </w:tcPr>
          <w:p w:rsidR="00E1118F" w:rsidRPr="008C18A2" w:rsidRDefault="00E1118F" w:rsidP="00E04A12">
            <w:pPr>
              <w:spacing w:line="265" w:lineRule="auto"/>
              <w:ind w:right="-449"/>
              <w:rPr>
                <w:rFonts w:asciiTheme="majorHAnsi" w:hAnsiTheme="majorHAnsi" w:cstheme="majorHAnsi"/>
              </w:rPr>
            </w:pPr>
          </w:p>
        </w:tc>
        <w:tc>
          <w:tcPr>
            <w:tcW w:w="1701" w:type="dxa"/>
          </w:tcPr>
          <w:p w:rsidR="00E1118F" w:rsidRPr="008C18A2" w:rsidRDefault="00E1118F" w:rsidP="00E04A12">
            <w:pPr>
              <w:spacing w:line="265" w:lineRule="auto"/>
              <w:ind w:right="-449"/>
              <w:rPr>
                <w:rFonts w:asciiTheme="majorHAnsi" w:hAnsiTheme="majorHAnsi" w:cstheme="majorHAnsi"/>
              </w:rPr>
            </w:pPr>
          </w:p>
        </w:tc>
      </w:tr>
      <w:bookmarkEnd w:id="29"/>
    </w:tbl>
    <w:p w:rsidR="00E1118F" w:rsidRPr="00FB7C39" w:rsidRDefault="00E1118F" w:rsidP="00E1118F"/>
    <w:p w:rsidR="00E1118F" w:rsidRPr="002759A9" w:rsidRDefault="00E1118F" w:rsidP="00E1118F">
      <w:pPr>
        <w:pStyle w:val="Heading3"/>
      </w:pPr>
      <w:bookmarkStart w:id="30" w:name="_Toc130312932"/>
      <w:bookmarkStart w:id="31" w:name="_Toc132693619"/>
      <w:r>
        <w:t>SHW Training for certain categories of employees</w:t>
      </w:r>
      <w:bookmarkEnd w:id="30"/>
      <w:bookmarkEnd w:id="31"/>
    </w:p>
    <w:tbl>
      <w:tblPr>
        <w:tblStyle w:val="TableGrid"/>
        <w:tblW w:w="9209" w:type="dxa"/>
        <w:tblLook w:val="04A0" w:firstRow="1" w:lastRow="0" w:firstColumn="1" w:lastColumn="0" w:noHBand="0" w:noVBand="1"/>
      </w:tblPr>
      <w:tblGrid>
        <w:gridCol w:w="2689"/>
        <w:gridCol w:w="1746"/>
        <w:gridCol w:w="1514"/>
        <w:gridCol w:w="1559"/>
        <w:gridCol w:w="1701"/>
      </w:tblGrid>
      <w:tr w:rsidR="00E1118F" w:rsidTr="00E04A12">
        <w:tc>
          <w:tcPr>
            <w:tcW w:w="2689" w:type="dxa"/>
            <w:vMerge w:val="restart"/>
          </w:tcPr>
          <w:p w:rsidR="00E1118F" w:rsidRPr="00E84CD9" w:rsidRDefault="00E1118F" w:rsidP="00E04A12">
            <w:pPr>
              <w:spacing w:after="365" w:line="265" w:lineRule="auto"/>
              <w:ind w:right="-449"/>
              <w:jc w:val="center"/>
              <w:rPr>
                <w:b/>
              </w:rPr>
            </w:pPr>
            <w:r w:rsidRPr="00E84CD9">
              <w:rPr>
                <w:b/>
              </w:rPr>
              <w:t>Training</w:t>
            </w:r>
          </w:p>
        </w:tc>
        <w:tc>
          <w:tcPr>
            <w:tcW w:w="1746" w:type="dxa"/>
            <w:vMerge w:val="restart"/>
          </w:tcPr>
          <w:p w:rsidR="00E1118F" w:rsidRDefault="00E1118F" w:rsidP="00E04A12">
            <w:pPr>
              <w:contextualSpacing/>
              <w:rPr>
                <w:b/>
              </w:rPr>
            </w:pPr>
            <w:r w:rsidRPr="00E84CD9">
              <w:rPr>
                <w:b/>
              </w:rPr>
              <w:t xml:space="preserve">Refresher </w:t>
            </w:r>
          </w:p>
          <w:p w:rsidR="00E1118F" w:rsidRPr="00E84CD9" w:rsidRDefault="00E1118F" w:rsidP="00E04A12">
            <w:pPr>
              <w:contextualSpacing/>
              <w:rPr>
                <w:b/>
              </w:rPr>
            </w:pPr>
            <w:r w:rsidRPr="00E84CD9">
              <w:rPr>
                <w:b/>
              </w:rPr>
              <w:t>timeline</w:t>
            </w:r>
          </w:p>
        </w:tc>
        <w:tc>
          <w:tcPr>
            <w:tcW w:w="4774" w:type="dxa"/>
            <w:gridSpan w:val="3"/>
          </w:tcPr>
          <w:p w:rsidR="00E1118F" w:rsidRPr="00E84CD9" w:rsidRDefault="00E1118F" w:rsidP="00E04A12">
            <w:pPr>
              <w:spacing w:after="365" w:line="265" w:lineRule="auto"/>
              <w:ind w:right="-449"/>
              <w:jc w:val="center"/>
              <w:rPr>
                <w:b/>
              </w:rPr>
            </w:pPr>
            <w:r w:rsidRPr="00E84CD9">
              <w:rPr>
                <w:b/>
              </w:rPr>
              <w:t xml:space="preserve">Training </w:t>
            </w:r>
            <w:r>
              <w:rPr>
                <w:b/>
              </w:rPr>
              <w:t>Mode</w:t>
            </w:r>
          </w:p>
        </w:tc>
      </w:tr>
      <w:tr w:rsidR="00E1118F" w:rsidTr="00E04A12">
        <w:trPr>
          <w:trHeight w:val="292"/>
        </w:trPr>
        <w:tc>
          <w:tcPr>
            <w:tcW w:w="2689" w:type="dxa"/>
            <w:vMerge/>
          </w:tcPr>
          <w:p w:rsidR="00E1118F" w:rsidRPr="00E84CD9" w:rsidRDefault="00E1118F" w:rsidP="00E04A12">
            <w:pPr>
              <w:spacing w:after="365" w:line="265" w:lineRule="auto"/>
              <w:ind w:right="-449"/>
              <w:jc w:val="center"/>
              <w:rPr>
                <w:b/>
              </w:rPr>
            </w:pPr>
          </w:p>
        </w:tc>
        <w:tc>
          <w:tcPr>
            <w:tcW w:w="1746" w:type="dxa"/>
            <w:vMerge/>
          </w:tcPr>
          <w:p w:rsidR="00E1118F" w:rsidRPr="00E84CD9" w:rsidRDefault="00E1118F" w:rsidP="00E04A12">
            <w:pPr>
              <w:spacing w:after="365" w:line="265" w:lineRule="auto"/>
              <w:ind w:right="-449"/>
              <w:jc w:val="center"/>
              <w:rPr>
                <w:b/>
              </w:rPr>
            </w:pPr>
          </w:p>
        </w:tc>
        <w:tc>
          <w:tcPr>
            <w:tcW w:w="1514" w:type="dxa"/>
          </w:tcPr>
          <w:p w:rsidR="00E1118F" w:rsidRPr="00E84CD9" w:rsidRDefault="00E1118F" w:rsidP="00E04A12">
            <w:pPr>
              <w:spacing w:after="365" w:line="265" w:lineRule="auto"/>
              <w:ind w:right="-449"/>
              <w:rPr>
                <w:b/>
                <w:sz w:val="18"/>
              </w:rPr>
            </w:pPr>
            <w:r w:rsidRPr="00E84CD9">
              <w:rPr>
                <w:b/>
                <w:sz w:val="18"/>
              </w:rPr>
              <w:t>Online</w:t>
            </w:r>
          </w:p>
        </w:tc>
        <w:tc>
          <w:tcPr>
            <w:tcW w:w="1559" w:type="dxa"/>
          </w:tcPr>
          <w:p w:rsidR="00E1118F" w:rsidRPr="00E84CD9" w:rsidRDefault="00E1118F" w:rsidP="00E04A12">
            <w:pPr>
              <w:spacing w:after="365" w:line="265" w:lineRule="auto"/>
              <w:ind w:right="-449"/>
              <w:rPr>
                <w:b/>
                <w:sz w:val="18"/>
              </w:rPr>
            </w:pPr>
            <w:r w:rsidRPr="00E84CD9">
              <w:rPr>
                <w:b/>
                <w:sz w:val="18"/>
              </w:rPr>
              <w:t>SHW Office</w:t>
            </w:r>
          </w:p>
        </w:tc>
        <w:tc>
          <w:tcPr>
            <w:tcW w:w="1701" w:type="dxa"/>
          </w:tcPr>
          <w:p w:rsidR="00E1118F" w:rsidRPr="00E84CD9" w:rsidRDefault="00E1118F" w:rsidP="00E04A12">
            <w:pPr>
              <w:spacing w:after="365" w:line="265" w:lineRule="auto"/>
              <w:ind w:right="-449"/>
              <w:rPr>
                <w:b/>
                <w:sz w:val="18"/>
              </w:rPr>
            </w:pPr>
            <w:r>
              <w:rPr>
                <w:b/>
                <w:sz w:val="18"/>
              </w:rPr>
              <w:t>*</w:t>
            </w:r>
            <w:r w:rsidRPr="00E84CD9">
              <w:rPr>
                <w:b/>
                <w:sz w:val="18"/>
              </w:rPr>
              <w:t>External Provider</w:t>
            </w:r>
          </w:p>
        </w:tc>
      </w:tr>
      <w:tr w:rsidR="00E1118F" w:rsidRPr="008C18A2" w:rsidTr="00E04A12">
        <w:tc>
          <w:tcPr>
            <w:tcW w:w="2689" w:type="dxa"/>
          </w:tcPr>
          <w:p w:rsidR="00E1118F" w:rsidRPr="007A6338" w:rsidRDefault="00E1118F" w:rsidP="00E04A12">
            <w:pPr>
              <w:spacing w:line="265" w:lineRule="auto"/>
              <w:ind w:right="-449"/>
              <w:rPr>
                <w:rFonts w:asciiTheme="majorHAnsi" w:hAnsiTheme="majorHAnsi" w:cstheme="majorHAnsi"/>
                <w:sz w:val="18"/>
                <w:szCs w:val="18"/>
              </w:rPr>
            </w:pPr>
            <w:r w:rsidRPr="007A6338">
              <w:rPr>
                <w:rFonts w:asciiTheme="majorHAnsi" w:hAnsiTheme="majorHAnsi" w:cstheme="majorHAnsi"/>
                <w:sz w:val="18"/>
                <w:szCs w:val="18"/>
              </w:rPr>
              <w:t>Manual handling</w:t>
            </w:r>
          </w:p>
        </w:tc>
        <w:tc>
          <w:tcPr>
            <w:tcW w:w="1746" w:type="dxa"/>
          </w:tcPr>
          <w:p w:rsidR="00E1118F" w:rsidRPr="007A6338" w:rsidRDefault="00E1118F" w:rsidP="00E04A12">
            <w:pPr>
              <w:spacing w:line="265" w:lineRule="auto"/>
              <w:ind w:right="-449"/>
              <w:rPr>
                <w:rFonts w:asciiTheme="majorHAnsi" w:hAnsiTheme="majorHAnsi" w:cstheme="majorHAnsi"/>
                <w:sz w:val="18"/>
                <w:szCs w:val="18"/>
              </w:rPr>
            </w:pPr>
            <w:r w:rsidRPr="007A6338">
              <w:rPr>
                <w:rFonts w:asciiTheme="majorHAnsi" w:hAnsiTheme="majorHAnsi" w:cstheme="majorHAnsi"/>
                <w:sz w:val="18"/>
                <w:szCs w:val="18"/>
              </w:rPr>
              <w:t xml:space="preserve">Every </w:t>
            </w:r>
            <w:r>
              <w:rPr>
                <w:rFonts w:asciiTheme="majorHAnsi" w:hAnsiTheme="majorHAnsi" w:cstheme="majorHAnsi"/>
                <w:sz w:val="18"/>
                <w:szCs w:val="18"/>
              </w:rPr>
              <w:t>t</w:t>
            </w:r>
            <w:r w:rsidRPr="007A6338">
              <w:rPr>
                <w:rFonts w:asciiTheme="majorHAnsi" w:hAnsiTheme="majorHAnsi" w:cstheme="majorHAnsi"/>
                <w:sz w:val="18"/>
                <w:szCs w:val="18"/>
              </w:rPr>
              <w:t>hree years</w:t>
            </w:r>
          </w:p>
        </w:tc>
        <w:tc>
          <w:tcPr>
            <w:tcW w:w="1514" w:type="dxa"/>
            <w:shd w:val="clear" w:color="auto" w:fill="8EAADB" w:themeFill="accent5" w:themeFillTint="99"/>
          </w:tcPr>
          <w:p w:rsidR="00E1118F" w:rsidRPr="007A6338" w:rsidRDefault="00E1118F" w:rsidP="00E04A12">
            <w:pPr>
              <w:spacing w:line="265" w:lineRule="auto"/>
              <w:ind w:right="-449"/>
              <w:rPr>
                <w:rFonts w:asciiTheme="majorHAnsi" w:hAnsiTheme="majorHAnsi" w:cstheme="majorHAnsi"/>
                <w:sz w:val="18"/>
                <w:szCs w:val="18"/>
              </w:rPr>
            </w:pPr>
          </w:p>
        </w:tc>
        <w:tc>
          <w:tcPr>
            <w:tcW w:w="1559" w:type="dxa"/>
            <w:shd w:val="clear" w:color="auto" w:fill="8EAADB" w:themeFill="accent5" w:themeFillTint="99"/>
          </w:tcPr>
          <w:p w:rsidR="00E1118F" w:rsidRPr="00BF34CE" w:rsidRDefault="00E1118F" w:rsidP="00E04A12">
            <w:pPr>
              <w:spacing w:line="265" w:lineRule="auto"/>
              <w:ind w:right="-449"/>
              <w:rPr>
                <w:rFonts w:asciiTheme="majorHAnsi" w:hAnsiTheme="majorHAnsi" w:cstheme="majorHAnsi"/>
                <w:i/>
                <w:sz w:val="18"/>
                <w:szCs w:val="18"/>
              </w:rPr>
            </w:pPr>
            <w:r w:rsidRPr="00BF34CE">
              <w:rPr>
                <w:rFonts w:asciiTheme="majorHAnsi" w:hAnsiTheme="majorHAnsi" w:cstheme="majorHAnsi"/>
                <w:i/>
                <w:sz w:val="18"/>
                <w:szCs w:val="18"/>
              </w:rPr>
              <w:t>Practical for those identified in risk assessment</w:t>
            </w:r>
          </w:p>
        </w:tc>
        <w:tc>
          <w:tcPr>
            <w:tcW w:w="1701" w:type="dxa"/>
          </w:tcPr>
          <w:p w:rsidR="00E1118F" w:rsidRPr="008C18A2" w:rsidRDefault="00E1118F" w:rsidP="00E04A12">
            <w:pPr>
              <w:spacing w:line="265" w:lineRule="auto"/>
              <w:ind w:right="-449"/>
              <w:rPr>
                <w:rFonts w:asciiTheme="majorHAnsi" w:hAnsiTheme="majorHAnsi" w:cstheme="majorHAnsi"/>
              </w:rPr>
            </w:pPr>
          </w:p>
        </w:tc>
      </w:tr>
      <w:tr w:rsidR="00E1118F" w:rsidRPr="008C18A2" w:rsidTr="00E04A12">
        <w:tc>
          <w:tcPr>
            <w:tcW w:w="2689" w:type="dxa"/>
          </w:tcPr>
          <w:p w:rsidR="00E1118F" w:rsidRPr="007A6338" w:rsidRDefault="00E1118F" w:rsidP="00E04A12">
            <w:pPr>
              <w:spacing w:line="265" w:lineRule="auto"/>
              <w:ind w:right="-449"/>
              <w:rPr>
                <w:rFonts w:asciiTheme="majorHAnsi" w:hAnsiTheme="majorHAnsi" w:cstheme="majorHAnsi"/>
                <w:sz w:val="18"/>
                <w:szCs w:val="18"/>
              </w:rPr>
            </w:pPr>
            <w:r w:rsidRPr="007A6338">
              <w:rPr>
                <w:rFonts w:asciiTheme="majorHAnsi" w:hAnsiTheme="majorHAnsi" w:cstheme="majorHAnsi"/>
                <w:sz w:val="18"/>
                <w:szCs w:val="18"/>
              </w:rPr>
              <w:t>Management Training</w:t>
            </w:r>
          </w:p>
        </w:tc>
        <w:tc>
          <w:tcPr>
            <w:tcW w:w="1746" w:type="dxa"/>
          </w:tcPr>
          <w:p w:rsidR="00E1118F" w:rsidRPr="007A6338" w:rsidRDefault="00E1118F" w:rsidP="00E04A12">
            <w:pPr>
              <w:spacing w:line="265" w:lineRule="auto"/>
              <w:ind w:right="-449"/>
              <w:rPr>
                <w:rFonts w:asciiTheme="majorHAnsi" w:hAnsiTheme="majorHAnsi" w:cstheme="majorHAnsi"/>
                <w:sz w:val="18"/>
                <w:szCs w:val="18"/>
              </w:rPr>
            </w:pPr>
            <w:r w:rsidRPr="007A6338">
              <w:rPr>
                <w:rFonts w:asciiTheme="majorHAnsi" w:hAnsiTheme="majorHAnsi" w:cstheme="majorHAnsi"/>
                <w:sz w:val="18"/>
                <w:szCs w:val="18"/>
              </w:rPr>
              <w:t>Every three years</w:t>
            </w:r>
          </w:p>
        </w:tc>
        <w:tc>
          <w:tcPr>
            <w:tcW w:w="1514" w:type="dxa"/>
          </w:tcPr>
          <w:p w:rsidR="00E1118F" w:rsidRPr="007A6338" w:rsidRDefault="00E1118F" w:rsidP="00E04A12">
            <w:pPr>
              <w:spacing w:line="265" w:lineRule="auto"/>
              <w:ind w:right="-449"/>
              <w:rPr>
                <w:rFonts w:asciiTheme="majorHAnsi" w:hAnsiTheme="majorHAnsi" w:cstheme="majorHAnsi"/>
                <w:sz w:val="18"/>
                <w:szCs w:val="18"/>
              </w:rPr>
            </w:pPr>
          </w:p>
        </w:tc>
        <w:tc>
          <w:tcPr>
            <w:tcW w:w="1559" w:type="dxa"/>
            <w:shd w:val="clear" w:color="auto" w:fill="8EAADB" w:themeFill="accent5" w:themeFillTint="99"/>
          </w:tcPr>
          <w:p w:rsidR="00E1118F" w:rsidRPr="007A6338" w:rsidRDefault="00E1118F" w:rsidP="00E04A12">
            <w:pPr>
              <w:spacing w:line="265" w:lineRule="auto"/>
              <w:ind w:right="-449"/>
              <w:rPr>
                <w:rFonts w:asciiTheme="majorHAnsi" w:hAnsiTheme="majorHAnsi" w:cstheme="majorHAnsi"/>
                <w:sz w:val="18"/>
                <w:szCs w:val="18"/>
              </w:rPr>
            </w:pPr>
          </w:p>
        </w:tc>
        <w:tc>
          <w:tcPr>
            <w:tcW w:w="1701" w:type="dxa"/>
          </w:tcPr>
          <w:p w:rsidR="00E1118F" w:rsidRPr="008C18A2" w:rsidRDefault="00E1118F" w:rsidP="00E04A12">
            <w:pPr>
              <w:spacing w:line="265" w:lineRule="auto"/>
              <w:ind w:right="-449"/>
              <w:rPr>
                <w:rFonts w:asciiTheme="majorHAnsi" w:hAnsiTheme="majorHAnsi" w:cstheme="majorHAnsi"/>
              </w:rPr>
            </w:pPr>
          </w:p>
        </w:tc>
      </w:tr>
      <w:tr w:rsidR="00E1118F" w:rsidRPr="008C18A2" w:rsidTr="00E04A12">
        <w:tc>
          <w:tcPr>
            <w:tcW w:w="2689" w:type="dxa"/>
          </w:tcPr>
          <w:p w:rsidR="00E1118F"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 xml:space="preserve">Specialist identified in risk </w:t>
            </w:r>
          </w:p>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assessment</w:t>
            </w:r>
          </w:p>
        </w:tc>
        <w:tc>
          <w:tcPr>
            <w:tcW w:w="1746"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As required</w:t>
            </w:r>
          </w:p>
        </w:tc>
        <w:tc>
          <w:tcPr>
            <w:tcW w:w="1514" w:type="dxa"/>
          </w:tcPr>
          <w:p w:rsidR="00E1118F" w:rsidRPr="007A6338" w:rsidRDefault="00E1118F" w:rsidP="00E04A12">
            <w:pPr>
              <w:spacing w:line="265" w:lineRule="auto"/>
              <w:ind w:right="-449"/>
              <w:rPr>
                <w:rFonts w:asciiTheme="majorHAnsi" w:hAnsiTheme="majorHAnsi" w:cstheme="majorHAnsi"/>
                <w:sz w:val="18"/>
                <w:szCs w:val="18"/>
              </w:rPr>
            </w:pPr>
          </w:p>
        </w:tc>
        <w:tc>
          <w:tcPr>
            <w:tcW w:w="1559" w:type="dxa"/>
          </w:tcPr>
          <w:p w:rsidR="00E1118F" w:rsidRPr="007A6338" w:rsidRDefault="00E1118F" w:rsidP="00E04A12">
            <w:pPr>
              <w:spacing w:line="265" w:lineRule="auto"/>
              <w:ind w:right="-449"/>
              <w:rPr>
                <w:rFonts w:asciiTheme="majorHAnsi" w:hAnsiTheme="majorHAnsi" w:cstheme="majorHAnsi"/>
                <w:sz w:val="18"/>
                <w:szCs w:val="18"/>
              </w:rPr>
            </w:pPr>
          </w:p>
        </w:tc>
        <w:tc>
          <w:tcPr>
            <w:tcW w:w="1701" w:type="dxa"/>
            <w:shd w:val="clear" w:color="auto" w:fill="8EAADB" w:themeFill="accent5" w:themeFillTint="99"/>
          </w:tcPr>
          <w:p w:rsidR="00E1118F" w:rsidRPr="008C18A2" w:rsidRDefault="00E1118F" w:rsidP="00E04A12">
            <w:pPr>
              <w:spacing w:line="265" w:lineRule="auto"/>
              <w:ind w:right="-449"/>
              <w:rPr>
                <w:rFonts w:asciiTheme="majorHAnsi" w:hAnsiTheme="majorHAnsi" w:cstheme="majorHAnsi"/>
              </w:rPr>
            </w:pPr>
          </w:p>
        </w:tc>
      </w:tr>
      <w:tr w:rsidR="00E1118F" w:rsidRPr="008C18A2" w:rsidTr="00E04A12">
        <w:tc>
          <w:tcPr>
            <w:tcW w:w="2689"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Out of hours access</w:t>
            </w:r>
          </w:p>
        </w:tc>
        <w:tc>
          <w:tcPr>
            <w:tcW w:w="1746"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As required</w:t>
            </w:r>
          </w:p>
        </w:tc>
        <w:tc>
          <w:tcPr>
            <w:tcW w:w="1514" w:type="dxa"/>
            <w:shd w:val="clear" w:color="auto" w:fill="8EAADB" w:themeFill="accent5" w:themeFillTint="99"/>
          </w:tcPr>
          <w:p w:rsidR="00E1118F" w:rsidRPr="007A6338" w:rsidRDefault="00E1118F" w:rsidP="00E04A12">
            <w:pPr>
              <w:spacing w:line="265" w:lineRule="auto"/>
              <w:ind w:right="-449"/>
              <w:rPr>
                <w:rFonts w:asciiTheme="majorHAnsi" w:hAnsiTheme="majorHAnsi" w:cstheme="majorHAnsi"/>
                <w:sz w:val="18"/>
                <w:szCs w:val="18"/>
              </w:rPr>
            </w:pPr>
          </w:p>
        </w:tc>
        <w:tc>
          <w:tcPr>
            <w:tcW w:w="1559" w:type="dxa"/>
          </w:tcPr>
          <w:p w:rsidR="00E1118F" w:rsidRPr="007A6338" w:rsidRDefault="00E1118F" w:rsidP="00E04A12">
            <w:pPr>
              <w:spacing w:line="265" w:lineRule="auto"/>
              <w:ind w:right="-449"/>
              <w:rPr>
                <w:rFonts w:asciiTheme="majorHAnsi" w:hAnsiTheme="majorHAnsi" w:cstheme="majorHAnsi"/>
                <w:sz w:val="18"/>
                <w:szCs w:val="18"/>
              </w:rPr>
            </w:pPr>
          </w:p>
        </w:tc>
        <w:tc>
          <w:tcPr>
            <w:tcW w:w="1701" w:type="dxa"/>
          </w:tcPr>
          <w:p w:rsidR="00E1118F" w:rsidRPr="008C18A2" w:rsidRDefault="00E1118F" w:rsidP="00E04A12">
            <w:pPr>
              <w:spacing w:line="265" w:lineRule="auto"/>
              <w:ind w:right="-449"/>
              <w:rPr>
                <w:rFonts w:asciiTheme="majorHAnsi" w:hAnsiTheme="majorHAnsi" w:cstheme="majorHAnsi"/>
              </w:rPr>
            </w:pPr>
          </w:p>
        </w:tc>
      </w:tr>
      <w:tr w:rsidR="00E1118F" w:rsidRPr="008C18A2" w:rsidTr="00E04A12">
        <w:tc>
          <w:tcPr>
            <w:tcW w:w="2689"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 xml:space="preserve">Emergency first-aid for </w:t>
            </w:r>
            <w:r w:rsidRPr="00E00FB3">
              <w:rPr>
                <w:rFonts w:asciiTheme="majorHAnsi" w:hAnsiTheme="majorHAnsi" w:cstheme="majorHAnsi"/>
                <w:sz w:val="18"/>
                <w:szCs w:val="18"/>
                <w:u w:val="single"/>
              </w:rPr>
              <w:t>all staff in laboratories, workshops, kitchens</w:t>
            </w:r>
          </w:p>
        </w:tc>
        <w:tc>
          <w:tcPr>
            <w:tcW w:w="1746"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 xml:space="preserve">Every three years </w:t>
            </w:r>
            <w:r w:rsidRPr="00007B9D">
              <w:rPr>
                <w:rFonts w:asciiTheme="majorHAnsi" w:hAnsiTheme="majorHAnsi" w:cstheme="majorHAnsi"/>
                <w:sz w:val="16"/>
                <w:szCs w:val="16"/>
              </w:rPr>
              <w:t>or as required based on duration in TU Dublin</w:t>
            </w:r>
          </w:p>
        </w:tc>
        <w:tc>
          <w:tcPr>
            <w:tcW w:w="1514" w:type="dxa"/>
          </w:tcPr>
          <w:p w:rsidR="00E1118F" w:rsidRPr="007A6338" w:rsidRDefault="00E1118F" w:rsidP="00E04A12">
            <w:pPr>
              <w:spacing w:line="265" w:lineRule="auto"/>
              <w:ind w:right="-449"/>
              <w:rPr>
                <w:rFonts w:asciiTheme="majorHAnsi" w:hAnsiTheme="majorHAnsi" w:cstheme="majorHAnsi"/>
                <w:sz w:val="18"/>
                <w:szCs w:val="18"/>
              </w:rPr>
            </w:pPr>
          </w:p>
        </w:tc>
        <w:tc>
          <w:tcPr>
            <w:tcW w:w="1559" w:type="dxa"/>
          </w:tcPr>
          <w:p w:rsidR="00E1118F" w:rsidRPr="007A6338" w:rsidRDefault="00E1118F" w:rsidP="00E04A12">
            <w:pPr>
              <w:spacing w:line="265" w:lineRule="auto"/>
              <w:ind w:right="-449"/>
              <w:rPr>
                <w:rFonts w:asciiTheme="majorHAnsi" w:hAnsiTheme="majorHAnsi" w:cstheme="majorHAnsi"/>
                <w:sz w:val="18"/>
                <w:szCs w:val="18"/>
              </w:rPr>
            </w:pPr>
          </w:p>
        </w:tc>
        <w:tc>
          <w:tcPr>
            <w:tcW w:w="1701" w:type="dxa"/>
            <w:shd w:val="clear" w:color="auto" w:fill="8EAADB" w:themeFill="accent5" w:themeFillTint="99"/>
          </w:tcPr>
          <w:p w:rsidR="00E1118F" w:rsidRPr="008C18A2" w:rsidRDefault="00E1118F" w:rsidP="00E04A12">
            <w:pPr>
              <w:spacing w:line="265" w:lineRule="auto"/>
              <w:ind w:right="-449"/>
              <w:rPr>
                <w:rFonts w:asciiTheme="majorHAnsi" w:hAnsiTheme="majorHAnsi" w:cstheme="majorHAnsi"/>
              </w:rPr>
            </w:pPr>
          </w:p>
        </w:tc>
      </w:tr>
      <w:tr w:rsidR="00E1118F" w:rsidRPr="008C18A2" w:rsidTr="00E04A12">
        <w:tc>
          <w:tcPr>
            <w:tcW w:w="2689" w:type="dxa"/>
          </w:tcPr>
          <w:p w:rsidR="00E1118F" w:rsidRDefault="00E1118F" w:rsidP="00E04A12">
            <w:pPr>
              <w:spacing w:line="265" w:lineRule="auto"/>
              <w:ind w:right="-449"/>
              <w:rPr>
                <w:rFonts w:asciiTheme="majorHAnsi" w:hAnsiTheme="majorHAnsi" w:cstheme="majorHAnsi"/>
                <w:sz w:val="18"/>
                <w:szCs w:val="18"/>
              </w:rPr>
            </w:pPr>
            <w:r w:rsidRPr="001D6266">
              <w:rPr>
                <w:rFonts w:asciiTheme="majorHAnsi" w:hAnsiTheme="majorHAnsi" w:cstheme="majorHAnsi"/>
                <w:sz w:val="18"/>
                <w:szCs w:val="18"/>
              </w:rPr>
              <w:t xml:space="preserve">Practical </w:t>
            </w:r>
            <w:r>
              <w:rPr>
                <w:rFonts w:asciiTheme="majorHAnsi" w:hAnsiTheme="majorHAnsi" w:cstheme="majorHAnsi"/>
                <w:sz w:val="18"/>
                <w:szCs w:val="18"/>
              </w:rPr>
              <w:t xml:space="preserve">demonstration </w:t>
            </w:r>
            <w:r w:rsidRPr="001D6266">
              <w:rPr>
                <w:rFonts w:asciiTheme="majorHAnsi" w:hAnsiTheme="majorHAnsi" w:cstheme="majorHAnsi"/>
                <w:sz w:val="18"/>
                <w:szCs w:val="18"/>
              </w:rPr>
              <w:t>of fire equipment</w:t>
            </w:r>
            <w:r>
              <w:rPr>
                <w:rFonts w:asciiTheme="majorHAnsi" w:hAnsiTheme="majorHAnsi" w:cstheme="majorHAnsi"/>
                <w:sz w:val="18"/>
                <w:szCs w:val="18"/>
              </w:rPr>
              <w:t xml:space="preserve"> use</w:t>
            </w:r>
            <w:r w:rsidRPr="001D6266">
              <w:rPr>
                <w:rFonts w:asciiTheme="majorHAnsi" w:hAnsiTheme="majorHAnsi" w:cstheme="majorHAnsi"/>
                <w:sz w:val="18"/>
                <w:szCs w:val="18"/>
              </w:rPr>
              <w:t xml:space="preserve"> for all staff in laboratories, workshops, kitchens, libraries, Campus and Estates</w:t>
            </w:r>
          </w:p>
        </w:tc>
        <w:tc>
          <w:tcPr>
            <w:tcW w:w="1746" w:type="dxa"/>
          </w:tcPr>
          <w:p w:rsidR="00E1118F"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Every three years</w:t>
            </w:r>
          </w:p>
        </w:tc>
        <w:tc>
          <w:tcPr>
            <w:tcW w:w="1514" w:type="dxa"/>
          </w:tcPr>
          <w:p w:rsidR="00E1118F" w:rsidRPr="007A6338" w:rsidRDefault="00E1118F" w:rsidP="00E04A12">
            <w:pPr>
              <w:spacing w:line="265" w:lineRule="auto"/>
              <w:ind w:right="-449"/>
              <w:rPr>
                <w:rFonts w:asciiTheme="majorHAnsi" w:hAnsiTheme="majorHAnsi" w:cstheme="majorHAnsi"/>
                <w:sz w:val="18"/>
                <w:szCs w:val="18"/>
              </w:rPr>
            </w:pPr>
          </w:p>
        </w:tc>
        <w:tc>
          <w:tcPr>
            <w:tcW w:w="1559" w:type="dxa"/>
            <w:shd w:val="clear" w:color="auto" w:fill="8EAADB" w:themeFill="accent5" w:themeFillTint="99"/>
          </w:tcPr>
          <w:p w:rsidR="00E1118F" w:rsidRPr="007A6338" w:rsidRDefault="00E1118F" w:rsidP="00E04A12">
            <w:pPr>
              <w:spacing w:line="265" w:lineRule="auto"/>
              <w:ind w:right="-449"/>
              <w:rPr>
                <w:rFonts w:asciiTheme="majorHAnsi" w:hAnsiTheme="majorHAnsi" w:cstheme="majorHAnsi"/>
                <w:sz w:val="18"/>
                <w:szCs w:val="18"/>
              </w:rPr>
            </w:pPr>
          </w:p>
        </w:tc>
        <w:tc>
          <w:tcPr>
            <w:tcW w:w="1701" w:type="dxa"/>
            <w:shd w:val="clear" w:color="auto" w:fill="FFFFFF" w:themeFill="background1"/>
          </w:tcPr>
          <w:p w:rsidR="00E1118F" w:rsidRPr="008C18A2" w:rsidRDefault="00E1118F" w:rsidP="00E04A12">
            <w:pPr>
              <w:spacing w:line="265" w:lineRule="auto"/>
              <w:ind w:right="-449"/>
              <w:rPr>
                <w:rFonts w:asciiTheme="majorHAnsi" w:hAnsiTheme="majorHAnsi" w:cstheme="majorHAnsi"/>
              </w:rPr>
            </w:pPr>
          </w:p>
        </w:tc>
      </w:tr>
      <w:tr w:rsidR="00E1118F" w:rsidRPr="008C18A2" w:rsidTr="00E04A12">
        <w:tc>
          <w:tcPr>
            <w:tcW w:w="2689" w:type="dxa"/>
          </w:tcPr>
          <w:p w:rsidR="00E1118F"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First-aid responder for designated</w:t>
            </w:r>
          </w:p>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First-aiders in Schools/Functions</w:t>
            </w:r>
          </w:p>
        </w:tc>
        <w:tc>
          <w:tcPr>
            <w:tcW w:w="1746"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Every two years</w:t>
            </w:r>
          </w:p>
        </w:tc>
        <w:tc>
          <w:tcPr>
            <w:tcW w:w="1514" w:type="dxa"/>
          </w:tcPr>
          <w:p w:rsidR="00E1118F" w:rsidRPr="007A6338" w:rsidRDefault="00E1118F" w:rsidP="00E04A12">
            <w:pPr>
              <w:spacing w:line="265" w:lineRule="auto"/>
              <w:ind w:right="-449"/>
              <w:rPr>
                <w:rFonts w:asciiTheme="majorHAnsi" w:hAnsiTheme="majorHAnsi" w:cstheme="majorHAnsi"/>
                <w:sz w:val="18"/>
                <w:szCs w:val="18"/>
              </w:rPr>
            </w:pPr>
          </w:p>
        </w:tc>
        <w:tc>
          <w:tcPr>
            <w:tcW w:w="1559" w:type="dxa"/>
          </w:tcPr>
          <w:p w:rsidR="00E1118F" w:rsidRPr="007A6338" w:rsidRDefault="00E1118F" w:rsidP="00E04A12">
            <w:pPr>
              <w:spacing w:line="265" w:lineRule="auto"/>
              <w:ind w:right="-449"/>
              <w:rPr>
                <w:rFonts w:asciiTheme="majorHAnsi" w:hAnsiTheme="majorHAnsi" w:cstheme="majorHAnsi"/>
                <w:sz w:val="18"/>
                <w:szCs w:val="18"/>
              </w:rPr>
            </w:pPr>
          </w:p>
        </w:tc>
        <w:tc>
          <w:tcPr>
            <w:tcW w:w="1701" w:type="dxa"/>
            <w:shd w:val="clear" w:color="auto" w:fill="8EAADB" w:themeFill="accent5" w:themeFillTint="99"/>
          </w:tcPr>
          <w:p w:rsidR="00E1118F" w:rsidRPr="008C18A2" w:rsidRDefault="00E1118F" w:rsidP="00E04A12">
            <w:pPr>
              <w:spacing w:line="265" w:lineRule="auto"/>
              <w:ind w:right="-449"/>
              <w:rPr>
                <w:rFonts w:asciiTheme="majorHAnsi" w:hAnsiTheme="majorHAnsi" w:cstheme="majorHAnsi"/>
              </w:rPr>
            </w:pPr>
          </w:p>
        </w:tc>
      </w:tr>
      <w:tr w:rsidR="00E1118F" w:rsidRPr="008C18A2" w:rsidTr="00E04A12">
        <w:tc>
          <w:tcPr>
            <w:tcW w:w="2689"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 xml:space="preserve">AED/CPR </w:t>
            </w:r>
          </w:p>
        </w:tc>
        <w:tc>
          <w:tcPr>
            <w:tcW w:w="1746"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Every two years</w:t>
            </w:r>
          </w:p>
        </w:tc>
        <w:tc>
          <w:tcPr>
            <w:tcW w:w="1514" w:type="dxa"/>
          </w:tcPr>
          <w:p w:rsidR="00E1118F" w:rsidRPr="007A6338" w:rsidRDefault="00E1118F" w:rsidP="00E04A12">
            <w:pPr>
              <w:spacing w:line="265" w:lineRule="auto"/>
              <w:ind w:right="-449"/>
              <w:rPr>
                <w:rFonts w:asciiTheme="majorHAnsi" w:hAnsiTheme="majorHAnsi" w:cstheme="majorHAnsi"/>
                <w:sz w:val="18"/>
                <w:szCs w:val="18"/>
              </w:rPr>
            </w:pPr>
          </w:p>
        </w:tc>
        <w:tc>
          <w:tcPr>
            <w:tcW w:w="1559" w:type="dxa"/>
          </w:tcPr>
          <w:p w:rsidR="00E1118F" w:rsidRPr="007A6338" w:rsidRDefault="00E1118F" w:rsidP="00E04A12">
            <w:pPr>
              <w:spacing w:line="265" w:lineRule="auto"/>
              <w:ind w:right="-449"/>
              <w:rPr>
                <w:rFonts w:asciiTheme="majorHAnsi" w:hAnsiTheme="majorHAnsi" w:cstheme="majorHAnsi"/>
                <w:sz w:val="18"/>
                <w:szCs w:val="18"/>
              </w:rPr>
            </w:pPr>
          </w:p>
        </w:tc>
        <w:tc>
          <w:tcPr>
            <w:tcW w:w="1701" w:type="dxa"/>
            <w:shd w:val="clear" w:color="auto" w:fill="8EAADB" w:themeFill="accent5" w:themeFillTint="99"/>
          </w:tcPr>
          <w:p w:rsidR="00E1118F" w:rsidRPr="008C18A2" w:rsidRDefault="00E1118F" w:rsidP="00E04A12">
            <w:pPr>
              <w:spacing w:line="265" w:lineRule="auto"/>
              <w:ind w:right="-449"/>
              <w:rPr>
                <w:rFonts w:asciiTheme="majorHAnsi" w:hAnsiTheme="majorHAnsi" w:cstheme="majorHAnsi"/>
              </w:rPr>
            </w:pPr>
          </w:p>
        </w:tc>
      </w:tr>
      <w:tr w:rsidR="00E1118F" w:rsidRPr="008C18A2" w:rsidTr="00E04A12">
        <w:tc>
          <w:tcPr>
            <w:tcW w:w="2689"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lastRenderedPageBreak/>
              <w:t>Campus SHW Committee members</w:t>
            </w:r>
          </w:p>
        </w:tc>
        <w:tc>
          <w:tcPr>
            <w:tcW w:w="1746"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As required</w:t>
            </w:r>
          </w:p>
        </w:tc>
        <w:tc>
          <w:tcPr>
            <w:tcW w:w="1514" w:type="dxa"/>
          </w:tcPr>
          <w:p w:rsidR="00E1118F" w:rsidRPr="007A6338" w:rsidRDefault="00E1118F" w:rsidP="00E04A12">
            <w:pPr>
              <w:spacing w:line="265" w:lineRule="auto"/>
              <w:ind w:right="-449"/>
              <w:rPr>
                <w:rFonts w:asciiTheme="majorHAnsi" w:hAnsiTheme="majorHAnsi" w:cstheme="majorHAnsi"/>
                <w:sz w:val="18"/>
                <w:szCs w:val="18"/>
              </w:rPr>
            </w:pPr>
          </w:p>
        </w:tc>
        <w:tc>
          <w:tcPr>
            <w:tcW w:w="1559" w:type="dxa"/>
            <w:shd w:val="clear" w:color="auto" w:fill="8EAADB" w:themeFill="accent5" w:themeFillTint="99"/>
          </w:tcPr>
          <w:p w:rsidR="00E1118F" w:rsidRPr="007A6338" w:rsidRDefault="00E1118F" w:rsidP="00E04A12">
            <w:pPr>
              <w:spacing w:line="265" w:lineRule="auto"/>
              <w:ind w:right="-449"/>
              <w:rPr>
                <w:rFonts w:asciiTheme="majorHAnsi" w:hAnsiTheme="majorHAnsi" w:cstheme="majorHAnsi"/>
                <w:sz w:val="18"/>
                <w:szCs w:val="18"/>
              </w:rPr>
            </w:pPr>
          </w:p>
        </w:tc>
        <w:tc>
          <w:tcPr>
            <w:tcW w:w="1701" w:type="dxa"/>
          </w:tcPr>
          <w:p w:rsidR="00E1118F" w:rsidRPr="008C18A2" w:rsidRDefault="00E1118F" w:rsidP="00E04A12">
            <w:pPr>
              <w:spacing w:line="265" w:lineRule="auto"/>
              <w:ind w:right="-449"/>
              <w:rPr>
                <w:rFonts w:asciiTheme="majorHAnsi" w:hAnsiTheme="majorHAnsi" w:cstheme="majorHAnsi"/>
              </w:rPr>
            </w:pPr>
          </w:p>
        </w:tc>
      </w:tr>
      <w:tr w:rsidR="00E1118F" w:rsidRPr="008C18A2" w:rsidTr="00E04A12">
        <w:tc>
          <w:tcPr>
            <w:tcW w:w="2689"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Statutory Safety Representatives</w:t>
            </w:r>
          </w:p>
        </w:tc>
        <w:tc>
          <w:tcPr>
            <w:tcW w:w="1746"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Every three years</w:t>
            </w:r>
          </w:p>
        </w:tc>
        <w:tc>
          <w:tcPr>
            <w:tcW w:w="1514" w:type="dxa"/>
          </w:tcPr>
          <w:p w:rsidR="00E1118F" w:rsidRPr="007A6338" w:rsidRDefault="00E1118F" w:rsidP="00E04A12">
            <w:pPr>
              <w:spacing w:line="265" w:lineRule="auto"/>
              <w:ind w:right="-449"/>
              <w:rPr>
                <w:rFonts w:asciiTheme="majorHAnsi" w:hAnsiTheme="majorHAnsi" w:cstheme="majorHAnsi"/>
                <w:sz w:val="18"/>
                <w:szCs w:val="18"/>
              </w:rPr>
            </w:pPr>
          </w:p>
        </w:tc>
        <w:tc>
          <w:tcPr>
            <w:tcW w:w="1559" w:type="dxa"/>
          </w:tcPr>
          <w:p w:rsidR="00E1118F" w:rsidRPr="007A6338" w:rsidRDefault="00E1118F" w:rsidP="00E04A12">
            <w:pPr>
              <w:spacing w:line="265" w:lineRule="auto"/>
              <w:ind w:right="-449"/>
              <w:rPr>
                <w:rFonts w:asciiTheme="majorHAnsi" w:hAnsiTheme="majorHAnsi" w:cstheme="majorHAnsi"/>
                <w:sz w:val="18"/>
                <w:szCs w:val="18"/>
              </w:rPr>
            </w:pPr>
          </w:p>
        </w:tc>
        <w:tc>
          <w:tcPr>
            <w:tcW w:w="1701" w:type="dxa"/>
            <w:shd w:val="clear" w:color="auto" w:fill="8EAADB" w:themeFill="accent5" w:themeFillTint="99"/>
          </w:tcPr>
          <w:p w:rsidR="00E1118F" w:rsidRPr="008C18A2" w:rsidRDefault="00E1118F" w:rsidP="00E04A12">
            <w:pPr>
              <w:spacing w:line="265" w:lineRule="auto"/>
              <w:ind w:right="-449"/>
              <w:rPr>
                <w:rFonts w:asciiTheme="majorHAnsi" w:hAnsiTheme="majorHAnsi" w:cstheme="majorHAnsi"/>
              </w:rPr>
            </w:pPr>
          </w:p>
        </w:tc>
      </w:tr>
      <w:tr w:rsidR="00E1118F" w:rsidRPr="008C18A2" w:rsidTr="00E04A12">
        <w:tc>
          <w:tcPr>
            <w:tcW w:w="2689"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Emergency Response Training for Bronze/ER Teams on each campus</w:t>
            </w:r>
          </w:p>
        </w:tc>
        <w:tc>
          <w:tcPr>
            <w:tcW w:w="1746" w:type="dxa"/>
          </w:tcPr>
          <w:p w:rsidR="00E1118F" w:rsidRPr="007A6338" w:rsidRDefault="00E1118F" w:rsidP="00E04A12">
            <w:pPr>
              <w:spacing w:line="265" w:lineRule="auto"/>
              <w:ind w:right="-449"/>
              <w:rPr>
                <w:rFonts w:asciiTheme="majorHAnsi" w:hAnsiTheme="majorHAnsi" w:cstheme="majorHAnsi"/>
                <w:sz w:val="18"/>
                <w:szCs w:val="18"/>
              </w:rPr>
            </w:pPr>
            <w:r>
              <w:rPr>
                <w:rFonts w:asciiTheme="majorHAnsi" w:hAnsiTheme="majorHAnsi" w:cstheme="majorHAnsi"/>
                <w:sz w:val="18"/>
                <w:szCs w:val="18"/>
              </w:rPr>
              <w:t>Every three years</w:t>
            </w:r>
          </w:p>
        </w:tc>
        <w:tc>
          <w:tcPr>
            <w:tcW w:w="1514" w:type="dxa"/>
          </w:tcPr>
          <w:p w:rsidR="00E1118F" w:rsidRPr="007A6338" w:rsidRDefault="00E1118F" w:rsidP="00E04A12">
            <w:pPr>
              <w:spacing w:line="265" w:lineRule="auto"/>
              <w:ind w:right="-449"/>
              <w:rPr>
                <w:rFonts w:asciiTheme="majorHAnsi" w:hAnsiTheme="majorHAnsi" w:cstheme="majorHAnsi"/>
                <w:sz w:val="18"/>
                <w:szCs w:val="18"/>
              </w:rPr>
            </w:pPr>
          </w:p>
        </w:tc>
        <w:tc>
          <w:tcPr>
            <w:tcW w:w="1559" w:type="dxa"/>
            <w:shd w:val="clear" w:color="auto" w:fill="8EAADB" w:themeFill="accent5" w:themeFillTint="99"/>
          </w:tcPr>
          <w:p w:rsidR="00E1118F" w:rsidRPr="007A6338" w:rsidRDefault="00E1118F" w:rsidP="00E04A12">
            <w:pPr>
              <w:spacing w:line="265" w:lineRule="auto"/>
              <w:ind w:right="-449"/>
              <w:rPr>
                <w:rFonts w:asciiTheme="majorHAnsi" w:hAnsiTheme="majorHAnsi" w:cstheme="majorHAnsi"/>
                <w:sz w:val="18"/>
                <w:szCs w:val="18"/>
              </w:rPr>
            </w:pPr>
          </w:p>
        </w:tc>
        <w:tc>
          <w:tcPr>
            <w:tcW w:w="1701" w:type="dxa"/>
            <w:shd w:val="clear" w:color="auto" w:fill="8EAADB" w:themeFill="accent5" w:themeFillTint="99"/>
          </w:tcPr>
          <w:p w:rsidR="00E1118F" w:rsidRPr="008C18A2" w:rsidRDefault="00E1118F" w:rsidP="00E04A12">
            <w:pPr>
              <w:spacing w:line="265" w:lineRule="auto"/>
              <w:ind w:right="-449"/>
              <w:rPr>
                <w:rFonts w:asciiTheme="majorHAnsi" w:hAnsiTheme="majorHAnsi" w:cstheme="majorHAnsi"/>
              </w:rPr>
            </w:pPr>
          </w:p>
        </w:tc>
      </w:tr>
    </w:tbl>
    <w:p w:rsidR="00E1118F" w:rsidRPr="00677D52" w:rsidRDefault="00E1118F" w:rsidP="00E1118F">
      <w:pPr>
        <w:spacing w:after="365" w:line="265" w:lineRule="auto"/>
        <w:ind w:right="-449"/>
        <w:rPr>
          <w:sz w:val="14"/>
        </w:rPr>
      </w:pPr>
    </w:p>
    <w:p w:rsidR="00E1118F" w:rsidRPr="00C6194F" w:rsidRDefault="00E1118F" w:rsidP="00E1118F">
      <w:pPr>
        <w:spacing w:after="365" w:line="265" w:lineRule="auto"/>
        <w:ind w:right="-449"/>
        <w:rPr>
          <w:lang w:val="en-GB" w:eastAsia="en-GB"/>
        </w:rPr>
      </w:pPr>
      <w:r w:rsidRPr="00677D52">
        <w:rPr>
          <w:sz w:val="14"/>
        </w:rPr>
        <w:t xml:space="preserve">*The People Development Office in conjunction with the Safety, Health and Welfare Office have a register of trainers and ensure that procurement is reviewed and external providers are sourced through the OGP framework. </w:t>
      </w:r>
    </w:p>
    <w:p w:rsidR="004A59A0" w:rsidRDefault="00E0586C"/>
    <w:sectPr w:rsidR="004A59A0" w:rsidSect="00E1118F">
      <w:headerReference w:type="even" r:id="rId7"/>
      <w:headerReference w:type="default" r:id="rId8"/>
      <w:footerReference w:type="even" r:id="rId9"/>
      <w:footerReference w:type="default" r:id="rId10"/>
      <w:headerReference w:type="first" r:id="rId11"/>
      <w:footerReference w:type="first" r:id="rId12"/>
      <w:pgSz w:w="11900" w:h="16840"/>
      <w:pgMar w:top="1105" w:right="1797" w:bottom="1440" w:left="1797" w:header="426"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6C" w:rsidRDefault="00E0586C" w:rsidP="00E1118F">
      <w:pPr>
        <w:spacing w:after="0"/>
      </w:pPr>
      <w:r>
        <w:separator/>
      </w:r>
    </w:p>
  </w:endnote>
  <w:endnote w:type="continuationSeparator" w:id="0">
    <w:p w:rsidR="00E0586C" w:rsidRDefault="00E0586C" w:rsidP="00E111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Visuelt">
    <w:altName w:val="Courier New"/>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8F" w:rsidRDefault="00E11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6CA" w:rsidRDefault="00E0586C">
    <w:pPr>
      <w:pStyle w:val="Footer"/>
    </w:pPr>
    <w:r>
      <w:rPr>
        <w:noProof/>
      </w:rPr>
      <mc:AlternateContent>
        <mc:Choice Requires="wps">
          <w:drawing>
            <wp:anchor distT="182880" distB="182880" distL="114300" distR="114300" simplePos="0" relativeHeight="251661312" behindDoc="0" locked="0" layoutInCell="1" allowOverlap="1" wp14:anchorId="230A4CBB" wp14:editId="5D2E722E">
              <wp:simplePos x="0" y="0"/>
              <wp:positionH relativeFrom="margin">
                <wp:posOffset>-944451</wp:posOffset>
              </wp:positionH>
              <wp:positionV relativeFrom="margin">
                <wp:posOffset>9575429</wp:posOffset>
              </wp:positionV>
              <wp:extent cx="1107440" cy="177165"/>
              <wp:effectExtent l="0" t="0" r="0" b="13335"/>
              <wp:wrapTopAndBottom/>
              <wp:docPr id="5" name="Text Box 5" descr="Pull quote"/>
              <wp:cNvGraphicFramePr/>
              <a:graphic xmlns:a="http://schemas.openxmlformats.org/drawingml/2006/main">
                <a:graphicData uri="http://schemas.microsoft.com/office/word/2010/wordprocessingShape">
                  <wps:wsp>
                    <wps:cNvSpPr txBox="1"/>
                    <wps:spPr>
                      <a:xfrm>
                        <a:off x="0" y="0"/>
                        <a:ext cx="110744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56CA" w:rsidRDefault="00E0586C" w:rsidP="005A7DB8">
                          <w:pPr>
                            <w:jc w:val="center"/>
                            <w:rPr>
                              <w:color w:val="2E74B5" w:themeColor="accent1" w:themeShade="BF"/>
                            </w:rPr>
                          </w:pPr>
                          <w:r>
                            <w:rPr>
                              <w:color w:val="2E74B5" w:themeColor="accent1" w:themeShade="BF"/>
                            </w:rPr>
                            <w:t>TU Dublin Public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A4CBB" id="_x0000_t202" coordsize="21600,21600" o:spt="202" path="m,l,21600r21600,l21600,xe">
              <v:stroke joinstyle="miter"/>
              <v:path gradientshapeok="t" o:connecttype="rect"/>
            </v:shapetype>
            <v:shape id="Text Box 5" o:spid="_x0000_s1026" type="#_x0000_t202" alt="Pull quote" style="position:absolute;margin-left:-74.35pt;margin-top:753.95pt;width:87.2pt;height:13.95pt;z-index:25166131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" filled="f" stroked="f" strokeweight=".5pt">
              <v:textbox inset="0,0,0,0">
                <w:txbxContent>
                  <w:p w:rsidR="004C56CA" w:rsidRDefault="00E0586C" w:rsidP="005A7DB8">
                    <w:pPr>
                      <w:jc w:val="center"/>
                      <w:rPr>
                        <w:color w:val="2E74B5" w:themeColor="accent1" w:themeShade="BF"/>
                      </w:rPr>
                    </w:pPr>
                    <w:r>
                      <w:rPr>
                        <w:color w:val="2E74B5" w:themeColor="accent1" w:themeShade="BF"/>
                      </w:rPr>
                      <w:t>TU Dublin Public</w:t>
                    </w:r>
                  </w:p>
                </w:txbxContent>
              </v:textbox>
              <w10:wrap type="topAndBottom" anchorx="margin" anchory="margin"/>
            </v:shape>
          </w:pict>
        </mc:Fallback>
      </mc:AlternateContent>
    </w:r>
    <w:r>
      <w:rPr>
        <w:noProof/>
      </w:rPr>
      <w:drawing>
        <wp:anchor distT="0" distB="0" distL="114300" distR="114300" simplePos="0" relativeHeight="251660288" behindDoc="0" locked="0" layoutInCell="1" allowOverlap="1" wp14:anchorId="59DF3D27" wp14:editId="6439F754">
          <wp:simplePos x="0" y="0"/>
          <wp:positionH relativeFrom="margin">
            <wp:align>center</wp:align>
          </wp:positionH>
          <wp:positionV relativeFrom="page">
            <wp:align>bottom</wp:align>
          </wp:positionV>
          <wp:extent cx="7257600" cy="8784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257600" cy="87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8F" w:rsidRDefault="00E1118F">
    <w:pPr>
      <w:pStyle w:val="Footer"/>
    </w:pPr>
    <w:r>
      <w:rPr>
        <w:noProof/>
      </w:rPr>
      <mc:AlternateContent>
        <mc:Choice Requires="wps">
          <w:drawing>
            <wp:anchor distT="45720" distB="45720" distL="114300" distR="114300" simplePos="0" relativeHeight="251663360" behindDoc="0" locked="0" layoutInCell="1" allowOverlap="1">
              <wp:simplePos x="0" y="0"/>
              <wp:positionH relativeFrom="column">
                <wp:posOffset>1830705</wp:posOffset>
              </wp:positionH>
              <wp:positionV relativeFrom="paragraph">
                <wp:posOffset>-3401060</wp:posOffset>
              </wp:positionV>
              <wp:extent cx="36004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rsidR="00E1118F" w:rsidRPr="00E1118F" w:rsidRDefault="00E1118F">
                          <w:pPr>
                            <w:rPr>
                              <w:rFonts w:ascii="Visuelt" w:hAnsi="Visuelt"/>
                              <w:b/>
                              <w:color w:val="19A4B1"/>
                              <w:sz w:val="32"/>
                              <w:lang w:val="en-IE"/>
                            </w:rPr>
                          </w:pPr>
                          <w:r w:rsidRPr="00E1118F">
                            <w:rPr>
                              <w:rFonts w:ascii="Visuelt" w:hAnsi="Visuelt"/>
                              <w:b/>
                              <w:color w:val="19A4B1"/>
                              <w:sz w:val="32"/>
                              <w:lang w:val="en-IE"/>
                            </w:rPr>
                            <w:t>Related Documents: TU Dublin Policy: Safety, Health and Welfare Training Policy</w:t>
                          </w:r>
                        </w:p>
                        <w:p w:rsidR="00E1118F" w:rsidRPr="00E1118F" w:rsidRDefault="00E1118F">
                          <w:pPr>
                            <w:rPr>
                              <w:sz w:val="6"/>
                            </w:rPr>
                          </w:pPr>
                          <w:r w:rsidRPr="00E1118F">
                            <w:rPr>
                              <w:rFonts w:ascii="Visuelt" w:hAnsi="Visuelt"/>
                              <w:color w:val="19A4B1"/>
                              <w:sz w:val="18"/>
                              <w:lang w:val="en-IE"/>
                            </w:rPr>
                            <w:t>V1,07.07.2023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4.15pt;margin-top:-267.8pt;width:28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">
              <v:textbox style="mso-fit-shape-to-text:t">
                <w:txbxContent>
                  <w:p w:rsidR="00E1118F" w:rsidRPr="00E1118F" w:rsidRDefault="00E1118F">
                    <w:pPr>
                      <w:rPr>
                        <w:rFonts w:ascii="Visuelt" w:hAnsi="Visuelt"/>
                        <w:b/>
                        <w:color w:val="19A4B1"/>
                        <w:sz w:val="32"/>
                        <w:lang w:val="en-IE"/>
                      </w:rPr>
                    </w:pPr>
                    <w:r w:rsidRPr="00E1118F">
                      <w:rPr>
                        <w:rFonts w:ascii="Visuelt" w:hAnsi="Visuelt"/>
                        <w:b/>
                        <w:color w:val="19A4B1"/>
                        <w:sz w:val="32"/>
                        <w:lang w:val="en-IE"/>
                      </w:rPr>
                      <w:t>Related Documents: TU Dublin Policy: Safety, Health and Welfare Training Policy</w:t>
                    </w:r>
                  </w:p>
                  <w:p w:rsidR="00E1118F" w:rsidRPr="00E1118F" w:rsidRDefault="00E1118F">
                    <w:pPr>
                      <w:rPr>
                        <w:sz w:val="6"/>
                      </w:rPr>
                    </w:pPr>
                    <w:r w:rsidRPr="00E1118F">
                      <w:rPr>
                        <w:rFonts w:ascii="Visuelt" w:hAnsi="Visuelt"/>
                        <w:color w:val="19A4B1"/>
                        <w:sz w:val="18"/>
                        <w:lang w:val="en-IE"/>
                      </w:rPr>
                      <w:t>V1,07.07.2023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6C" w:rsidRDefault="00E0586C" w:rsidP="00E1118F">
      <w:pPr>
        <w:spacing w:after="0"/>
      </w:pPr>
      <w:r>
        <w:separator/>
      </w:r>
    </w:p>
  </w:footnote>
  <w:footnote w:type="continuationSeparator" w:id="0">
    <w:p w:rsidR="00E0586C" w:rsidRDefault="00E0586C" w:rsidP="00E1118F">
      <w:pPr>
        <w:spacing w:after="0"/>
      </w:pPr>
      <w:r>
        <w:continuationSeparator/>
      </w:r>
    </w:p>
  </w:footnote>
  <w:footnote w:id="1">
    <w:p w:rsidR="00E1118F" w:rsidRPr="00FD7515" w:rsidRDefault="00E1118F" w:rsidP="00E1118F">
      <w:pPr>
        <w:pStyle w:val="FootnoteText"/>
        <w:rPr>
          <w:lang w:val="en-IE"/>
        </w:rPr>
      </w:pPr>
      <w:r>
        <w:rPr>
          <w:rStyle w:val="FootnoteReference"/>
        </w:rPr>
        <w:footnoteRef/>
      </w:r>
      <w:r>
        <w:t xml:space="preserve"> </w:t>
      </w:r>
      <w:r w:rsidRPr="00FD7515">
        <w:rPr>
          <w:sz w:val="18"/>
          <w:lang w:val="en-IE"/>
        </w:rPr>
        <w:t xml:space="preserve">Safety, Health and Welfare at Work Act 2005 Part 2, Chapter 4- Manual Handling </w:t>
      </w:r>
      <w:r>
        <w:rPr>
          <w:sz w:val="18"/>
          <w:lang w:val="en-IE"/>
        </w:rPr>
        <w:t>of L</w:t>
      </w:r>
      <w:r w:rsidRPr="00FD7515">
        <w:rPr>
          <w:sz w:val="18"/>
          <w:lang w:val="en-IE"/>
        </w:rPr>
        <w:t>oads</w:t>
      </w:r>
      <w:r>
        <w:rPr>
          <w:sz w:val="18"/>
          <w:lang w:val="en-IE"/>
        </w:rPr>
        <w:t xml:space="preserve"> Regulation 69 Duties of Employer</w:t>
      </w:r>
    </w:p>
  </w:footnote>
  <w:footnote w:id="2">
    <w:p w:rsidR="00E1118F" w:rsidRPr="00C40125" w:rsidRDefault="00E1118F" w:rsidP="00E1118F">
      <w:pPr>
        <w:pStyle w:val="FootnoteText"/>
        <w:rPr>
          <w:lang w:val="en-IE"/>
        </w:rPr>
      </w:pPr>
      <w:r>
        <w:rPr>
          <w:rStyle w:val="FootnoteReference"/>
        </w:rPr>
        <w:footnoteRef/>
      </w:r>
      <w:r>
        <w:t xml:space="preserve"> </w:t>
      </w:r>
      <w:r w:rsidRPr="006D0A83">
        <w:rPr>
          <w:sz w:val="18"/>
          <w:lang w:val="en-IE"/>
        </w:rPr>
        <w:t>Safety, Health and Welfare at Work Act 2005 Part 7, Chapter</w:t>
      </w:r>
      <w:r>
        <w:rPr>
          <w:sz w:val="18"/>
          <w:lang w:val="en-IE"/>
        </w:rPr>
        <w:t xml:space="preserve"> 2 – First Aid. Regulation 165: Provisions for First Aid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6CA" w:rsidRDefault="00E0586C">
    <w:pPr>
      <w:pStyle w:val="Header"/>
    </w:pPr>
    <w:r>
      <w:rPr>
        <w:noProof/>
      </w:rPr>
      <w:drawing>
        <wp:inline distT="0" distB="0" distL="0" distR="0" wp14:anchorId="57037DFB" wp14:editId="3C04E678">
          <wp:extent cx="5274310" cy="7463790"/>
          <wp:effectExtent l="25400" t="0" r="8890" b="0"/>
          <wp:docPr id="6" name="Picture 5" descr="Report 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2.jpg"/>
                  <pic:cNvPicPr/>
                </pic:nvPicPr>
                <pic:blipFill>
                  <a:blip r:embed="rId1"/>
                  <a:stretch>
                    <a:fillRect/>
                  </a:stretch>
                </pic:blipFill>
                <pic:spPr>
                  <a:xfrm>
                    <a:off x="0" y="0"/>
                    <a:ext cx="5274310" cy="74637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6CA" w:rsidRPr="002E55AB" w:rsidRDefault="00E0586C" w:rsidP="002E55AB">
    <w:pPr>
      <w:pStyle w:val="Header"/>
      <w:ind w:hanging="1276"/>
      <w:rPr>
        <w:rFonts w:ascii="Visuelt" w:hAnsi="Visuelt"/>
        <w:color w:val="19A4B1"/>
        <w:sz w:val="32"/>
        <w:lang w:val="en-IE"/>
      </w:rPr>
    </w:pPr>
    <w:sdt>
      <w:sdtPr>
        <w:id w:val="85283088"/>
        <w:docPartObj>
          <w:docPartGallery w:val="Page Numbers (Top of Page)"/>
          <w:docPartUnique/>
        </w:docPartObj>
      </w:sdtPr>
      <w:sdtEndPr>
        <w:rPr>
          <w:noProof/>
        </w:rPr>
      </w:sdtEndPr>
      <w:sdtContent>
        <w:r w:rsidR="00E1118F">
          <w:rPr>
            <w:rFonts w:ascii="Visuelt" w:hAnsi="Visuelt"/>
            <w:color w:val="19A4B1"/>
            <w:sz w:val="32"/>
            <w:lang w:val="en-IE"/>
          </w:rPr>
          <w:t>Related Documents: TU</w:t>
        </w:r>
        <w:r>
          <w:rPr>
            <w:rFonts w:ascii="Visuelt" w:hAnsi="Visuelt"/>
            <w:color w:val="19A4B1"/>
            <w:sz w:val="32"/>
            <w:lang w:val="en-IE"/>
          </w:rPr>
          <w:t xml:space="preserve"> Dublin Policy: Safety, Health a</w:t>
        </w:r>
        <w:r>
          <w:rPr>
            <w:rFonts w:ascii="Visuelt" w:hAnsi="Visuelt"/>
            <w:color w:val="19A4B1"/>
            <w:sz w:val="32"/>
            <w:lang w:val="en-IE"/>
          </w:rPr>
          <w:t xml:space="preserve">nd Welfare Training Policy </w:t>
        </w:r>
        <w:r>
          <w:rPr>
            <w:rFonts w:ascii="Visuelt" w:hAnsi="Visuelt"/>
            <w:color w:val="19A4B1"/>
            <w:sz w:val="32"/>
            <w:lang w:val="en-IE"/>
          </w:rPr>
          <w:tab/>
          <w:t xml:space="preserve"> </w:t>
        </w:r>
        <w:r>
          <w:fldChar w:fldCharType="begin"/>
        </w:r>
        <w:r>
          <w:instrText xml:space="preserve"> PAGE   \* MERGEFORMAT </w:instrText>
        </w:r>
        <w:r>
          <w:fldChar w:fldCharType="separate"/>
        </w:r>
        <w:r w:rsidR="00E1118F">
          <w:rPr>
            <w:noProof/>
          </w:rPr>
          <w:t>2</w:t>
        </w:r>
        <w:r>
          <w:rPr>
            <w:noProof/>
          </w:rPr>
          <w:fldChar w:fldCharType="end"/>
        </w:r>
        <w:r>
          <w:rPr>
            <w:rFonts w:ascii="Visuelt" w:hAnsi="Visuelt"/>
            <w:color w:val="19A4B1"/>
            <w:sz w:val="32"/>
            <w:lang w:val="en-IE"/>
          </w:rPr>
          <w:t xml:space="preserve">          </w:t>
        </w:r>
      </w:sdtContent>
    </w:sdt>
  </w:p>
  <w:p w:rsidR="004C56CA" w:rsidRPr="002E55AB" w:rsidRDefault="00E0586C" w:rsidP="002E5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6CA" w:rsidRPr="008D5C60" w:rsidRDefault="00E0586C" w:rsidP="008D5C60">
    <w:pPr>
      <w:pStyle w:val="Header"/>
    </w:pPr>
    <w:bookmarkStart w:id="32" w:name="_GoBack"/>
    <w:r w:rsidRPr="008D5C60">
      <w:rPr>
        <w:noProof/>
      </w:rPr>
      <w:drawing>
        <wp:anchor distT="0" distB="0" distL="114300" distR="114300" simplePos="0" relativeHeight="251659264" behindDoc="0" locked="0" layoutInCell="1" allowOverlap="1" wp14:anchorId="1ED23C84" wp14:editId="0268561E">
          <wp:simplePos x="0" y="0"/>
          <wp:positionH relativeFrom="column">
            <wp:posOffset>-1143000</wp:posOffset>
          </wp:positionH>
          <wp:positionV relativeFrom="paragraph">
            <wp:posOffset>-254635</wp:posOffset>
          </wp:positionV>
          <wp:extent cx="7556500" cy="10693400"/>
          <wp:effectExtent l="25400" t="0" r="0" b="0"/>
          <wp:wrapNone/>
          <wp:docPr id="11" name="Picture 11" descr="Report Co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3.jpg"/>
                  <pic:cNvPicPr/>
                </pic:nvPicPr>
                <pic:blipFill>
                  <a:blip r:embed="rId1"/>
                  <a:stretch>
                    <a:fillRect/>
                  </a:stretch>
                </pic:blipFill>
                <pic:spPr>
                  <a:xfrm>
                    <a:off x="0" y="0"/>
                    <a:ext cx="7556500" cy="10693400"/>
                  </a:xfrm>
                  <a:prstGeom prst="rect">
                    <a:avLst/>
                  </a:prstGeom>
                </pic:spPr>
              </pic:pic>
            </a:graphicData>
          </a:graphic>
        </wp:anchor>
      </w:drawing>
    </w:r>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56855"/>
    <w:multiLevelType w:val="hybridMultilevel"/>
    <w:tmpl w:val="B228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8F"/>
    <w:rsid w:val="000F6D6F"/>
    <w:rsid w:val="00D45EB1"/>
    <w:rsid w:val="00E0586C"/>
    <w:rsid w:val="00E1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ECD92"/>
  <w15:chartTrackingRefBased/>
  <w15:docId w15:val="{E5FD0201-4453-494D-A57B-9324ED5D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18F"/>
    <w:pPr>
      <w:spacing w:after="200" w:line="240" w:lineRule="auto"/>
    </w:pPr>
    <w:rPr>
      <w:rFonts w:ascii="Arial" w:hAnsi="Arial"/>
      <w:color w:val="54565A"/>
      <w:sz w:val="20"/>
      <w:szCs w:val="24"/>
    </w:rPr>
  </w:style>
  <w:style w:type="paragraph" w:styleId="Heading2">
    <w:name w:val="heading 2"/>
    <w:aliases w:val="Method123 sub heading,2,Level 2 Heading,h2,Numbered indent 2,ni2,Hanging 2 Indent,numbered indent 2"/>
    <w:basedOn w:val="Normal"/>
    <w:next w:val="Normal"/>
    <w:link w:val="Heading2Char"/>
    <w:autoRedefine/>
    <w:unhideWhenUsed/>
    <w:qFormat/>
    <w:rsid w:val="00E1118F"/>
    <w:pPr>
      <w:keepNext/>
      <w:spacing w:before="240" w:after="60" w:line="276" w:lineRule="auto"/>
      <w:outlineLvl w:val="1"/>
    </w:pPr>
    <w:rPr>
      <w:rFonts w:eastAsia="Times New Roman" w:cs="Times New Roman"/>
      <w:b/>
      <w:bCs/>
      <w:iCs/>
      <w:color w:val="00A9B7"/>
      <w:szCs w:val="28"/>
      <w:lang w:val="en-GB" w:eastAsia="en-GB"/>
    </w:rPr>
  </w:style>
  <w:style w:type="paragraph" w:styleId="Heading3">
    <w:name w:val="heading 3"/>
    <w:basedOn w:val="Normal"/>
    <w:next w:val="Normal"/>
    <w:link w:val="Heading3Char"/>
    <w:autoRedefine/>
    <w:uiPriority w:val="9"/>
    <w:unhideWhenUsed/>
    <w:qFormat/>
    <w:rsid w:val="00E1118F"/>
    <w:pPr>
      <w:keepNext/>
      <w:keepLines/>
      <w:spacing w:before="40" w:after="0"/>
      <w:outlineLvl w:val="2"/>
    </w:pPr>
    <w:rPr>
      <w:rFonts w:eastAsiaTheme="majorEastAsia" w:cstheme="majorBidi"/>
      <w:b/>
      <w:color w:val="00A9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Method123 sub heading Char,2 Char,Level 2 Heading Char,h2 Char,Numbered indent 2 Char,ni2 Char,Hanging 2 Indent Char,numbered indent 2 Char"/>
    <w:basedOn w:val="DefaultParagraphFont"/>
    <w:link w:val="Heading2"/>
    <w:rsid w:val="00E1118F"/>
    <w:rPr>
      <w:rFonts w:ascii="Arial" w:eastAsia="Times New Roman" w:hAnsi="Arial" w:cs="Times New Roman"/>
      <w:b/>
      <w:bCs/>
      <w:iCs/>
      <w:color w:val="00A9B7"/>
      <w:sz w:val="20"/>
      <w:szCs w:val="28"/>
      <w:lang w:val="en-GB" w:eastAsia="en-GB"/>
    </w:rPr>
  </w:style>
  <w:style w:type="character" w:customStyle="1" w:styleId="Heading3Char">
    <w:name w:val="Heading 3 Char"/>
    <w:basedOn w:val="DefaultParagraphFont"/>
    <w:link w:val="Heading3"/>
    <w:uiPriority w:val="9"/>
    <w:rsid w:val="00E1118F"/>
    <w:rPr>
      <w:rFonts w:ascii="Arial" w:eastAsiaTheme="majorEastAsia" w:hAnsi="Arial" w:cstheme="majorBidi"/>
      <w:b/>
      <w:color w:val="00A9B7"/>
      <w:sz w:val="20"/>
      <w:szCs w:val="24"/>
    </w:rPr>
  </w:style>
  <w:style w:type="paragraph" w:styleId="Header">
    <w:name w:val="header"/>
    <w:basedOn w:val="Normal"/>
    <w:link w:val="HeaderChar"/>
    <w:uiPriority w:val="99"/>
    <w:unhideWhenUsed/>
    <w:rsid w:val="00E1118F"/>
    <w:pPr>
      <w:tabs>
        <w:tab w:val="center" w:pos="4320"/>
        <w:tab w:val="right" w:pos="8640"/>
      </w:tabs>
      <w:spacing w:after="0"/>
    </w:pPr>
  </w:style>
  <w:style w:type="character" w:customStyle="1" w:styleId="HeaderChar">
    <w:name w:val="Header Char"/>
    <w:basedOn w:val="DefaultParagraphFont"/>
    <w:link w:val="Header"/>
    <w:uiPriority w:val="99"/>
    <w:rsid w:val="00E1118F"/>
    <w:rPr>
      <w:rFonts w:ascii="Arial" w:hAnsi="Arial"/>
      <w:color w:val="54565A"/>
      <w:sz w:val="20"/>
      <w:szCs w:val="24"/>
    </w:rPr>
  </w:style>
  <w:style w:type="paragraph" w:styleId="Footer">
    <w:name w:val="footer"/>
    <w:basedOn w:val="Normal"/>
    <w:link w:val="FooterChar"/>
    <w:uiPriority w:val="99"/>
    <w:unhideWhenUsed/>
    <w:rsid w:val="00E1118F"/>
    <w:pPr>
      <w:tabs>
        <w:tab w:val="center" w:pos="4320"/>
        <w:tab w:val="right" w:pos="8640"/>
      </w:tabs>
      <w:spacing w:after="0"/>
    </w:pPr>
  </w:style>
  <w:style w:type="character" w:customStyle="1" w:styleId="FooterChar">
    <w:name w:val="Footer Char"/>
    <w:basedOn w:val="DefaultParagraphFont"/>
    <w:link w:val="Footer"/>
    <w:uiPriority w:val="99"/>
    <w:rsid w:val="00E1118F"/>
    <w:rPr>
      <w:rFonts w:ascii="Arial" w:hAnsi="Arial"/>
      <w:color w:val="54565A"/>
      <w:sz w:val="20"/>
      <w:szCs w:val="24"/>
    </w:rPr>
  </w:style>
  <w:style w:type="paragraph" w:styleId="ListParagraph">
    <w:name w:val="List Paragraph"/>
    <w:basedOn w:val="Normal"/>
    <w:uiPriority w:val="34"/>
    <w:qFormat/>
    <w:rsid w:val="00E1118F"/>
    <w:pPr>
      <w:ind w:left="720"/>
      <w:contextualSpacing/>
    </w:pPr>
  </w:style>
  <w:style w:type="table" w:styleId="TableGrid">
    <w:name w:val="Table Grid"/>
    <w:basedOn w:val="TableNormal"/>
    <w:uiPriority w:val="59"/>
    <w:rsid w:val="00E1118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118F"/>
    <w:pPr>
      <w:spacing w:after="0"/>
    </w:pPr>
    <w:rPr>
      <w:szCs w:val="20"/>
    </w:rPr>
  </w:style>
  <w:style w:type="character" w:customStyle="1" w:styleId="FootnoteTextChar">
    <w:name w:val="Footnote Text Char"/>
    <w:basedOn w:val="DefaultParagraphFont"/>
    <w:link w:val="FootnoteText"/>
    <w:uiPriority w:val="99"/>
    <w:semiHidden/>
    <w:rsid w:val="00E1118F"/>
    <w:rPr>
      <w:rFonts w:ascii="Arial" w:hAnsi="Arial"/>
      <w:color w:val="54565A"/>
      <w:sz w:val="20"/>
      <w:szCs w:val="20"/>
    </w:rPr>
  </w:style>
  <w:style w:type="character" w:styleId="FootnoteReference">
    <w:name w:val="footnote reference"/>
    <w:basedOn w:val="DefaultParagraphFont"/>
    <w:uiPriority w:val="99"/>
    <w:semiHidden/>
    <w:unhideWhenUsed/>
    <w:rsid w:val="00E1118F"/>
    <w:rPr>
      <w:vertAlign w:val="superscript"/>
    </w:rPr>
  </w:style>
  <w:style w:type="paragraph" w:styleId="NormalWeb">
    <w:name w:val="Normal (Web)"/>
    <w:basedOn w:val="Normal"/>
    <w:uiPriority w:val="99"/>
    <w:semiHidden/>
    <w:unhideWhenUsed/>
    <w:rsid w:val="00E1118F"/>
    <w:pPr>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1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1190</Words>
  <Characters>6786</Characters>
  <Application>Microsoft Office Word</Application>
  <DocSecurity>0</DocSecurity>
  <Lines>56</Lines>
  <Paragraphs>15</Paragraphs>
  <ScaleCrop>false</ScaleCrop>
  <Company>Dublin Institute of Technology</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Niland</dc:creator>
  <cp:keywords/>
  <dc:description/>
  <cp:lastModifiedBy>Edel Niland</cp:lastModifiedBy>
  <cp:revision>1</cp:revision>
  <dcterms:created xsi:type="dcterms:W3CDTF">2024-02-27T09:07:00Z</dcterms:created>
  <dcterms:modified xsi:type="dcterms:W3CDTF">2024-02-27T09:11:00Z</dcterms:modified>
</cp:coreProperties>
</file>