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88" w:rsidRPr="004503E8" w:rsidRDefault="0055325D" w:rsidP="004503E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03E8">
        <w:rPr>
          <w:rFonts w:cstheme="minorHAnsi"/>
          <w:b/>
          <w:sz w:val="24"/>
          <w:szCs w:val="24"/>
        </w:rPr>
        <w:t>TU Dublin Graduate Resea</w:t>
      </w:r>
      <w:r w:rsidR="00474541">
        <w:rPr>
          <w:rFonts w:cstheme="minorHAnsi"/>
          <w:b/>
          <w:sz w:val="24"/>
          <w:szCs w:val="24"/>
        </w:rPr>
        <w:t>rch Student Assistance Fund</w:t>
      </w:r>
    </w:p>
    <w:p w:rsidR="008F4E88" w:rsidRPr="004503E8" w:rsidRDefault="008F4E88" w:rsidP="004503E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F4E88" w:rsidRPr="004503E8" w:rsidRDefault="0055325D" w:rsidP="004503E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03E8">
        <w:rPr>
          <w:rFonts w:cstheme="minorHAnsi"/>
          <w:b/>
          <w:sz w:val="24"/>
          <w:szCs w:val="24"/>
        </w:rPr>
        <w:t>Terms and Conditions</w:t>
      </w:r>
    </w:p>
    <w:p w:rsidR="0055325D" w:rsidRPr="0018081B" w:rsidRDefault="0055325D" w:rsidP="004503E8">
      <w:pPr>
        <w:spacing w:after="0" w:line="360" w:lineRule="auto"/>
        <w:jc w:val="both"/>
        <w:rPr>
          <w:rFonts w:cstheme="minorHAnsi"/>
        </w:rPr>
      </w:pPr>
    </w:p>
    <w:p w:rsidR="00D01EED" w:rsidRPr="0018081B" w:rsidRDefault="00D01EED" w:rsidP="004503E8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18081B">
        <w:rPr>
          <w:rFonts w:cstheme="minorHAnsi"/>
          <w:shd w:val="clear" w:color="auto" w:fill="FFFFFF"/>
        </w:rPr>
        <w:t xml:space="preserve">The </w:t>
      </w:r>
      <w:r w:rsidRPr="0018081B">
        <w:rPr>
          <w:rFonts w:cstheme="minorHAnsi"/>
          <w:b/>
        </w:rPr>
        <w:t>Graduate Research Student Assistance Fund</w:t>
      </w:r>
      <w:r w:rsidRPr="0018081B">
        <w:rPr>
          <w:rFonts w:cstheme="minorHAnsi"/>
          <w:shd w:val="clear" w:color="auto" w:fill="FFFFFF"/>
        </w:rPr>
        <w:t xml:space="preserve"> provides financial support to research students who are experiencing short or long-term financi</w:t>
      </w:r>
      <w:r w:rsidR="0018081B">
        <w:rPr>
          <w:rFonts w:cstheme="minorHAnsi"/>
          <w:shd w:val="clear" w:color="auto" w:fill="FFFFFF"/>
        </w:rPr>
        <w:t>al difficulties while registered on a research programme at TU Dublin.</w:t>
      </w:r>
    </w:p>
    <w:p w:rsidR="00D01EED" w:rsidRPr="0018081B" w:rsidRDefault="00D01EED" w:rsidP="004503E8">
      <w:pPr>
        <w:spacing w:after="0" w:line="360" w:lineRule="auto"/>
        <w:jc w:val="both"/>
        <w:rPr>
          <w:rFonts w:cstheme="minorHAnsi"/>
        </w:rPr>
      </w:pPr>
    </w:p>
    <w:p w:rsidR="00DB2ABE" w:rsidRPr="0018081B" w:rsidRDefault="00D01EED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The fund is open to a</w:t>
      </w:r>
      <w:r w:rsidR="00DB2ABE" w:rsidRPr="0018081B">
        <w:rPr>
          <w:rFonts w:cstheme="minorHAnsi"/>
        </w:rPr>
        <w:t xml:space="preserve">ny full-time or part-time student currently registered for one of the four research degrees in TU Dublin </w:t>
      </w:r>
      <w:proofErr w:type="spellStart"/>
      <w:r w:rsidR="00DB2ABE" w:rsidRPr="0018081B">
        <w:rPr>
          <w:rFonts w:cstheme="minorHAnsi"/>
        </w:rPr>
        <w:t>ie</w:t>
      </w:r>
      <w:proofErr w:type="spellEnd"/>
      <w:r w:rsidR="00DB2ABE" w:rsidRPr="0018081B">
        <w:rPr>
          <w:rFonts w:cstheme="minorHAnsi"/>
        </w:rPr>
        <w:t xml:space="preserve"> Postgraduate Diploma by Research (</w:t>
      </w:r>
      <w:proofErr w:type="spellStart"/>
      <w:r w:rsidR="00DB2ABE" w:rsidRPr="0018081B">
        <w:rPr>
          <w:rFonts w:cstheme="minorHAnsi"/>
        </w:rPr>
        <w:t>PgDip</w:t>
      </w:r>
      <w:proofErr w:type="spellEnd"/>
      <w:r w:rsidR="00DB2ABE" w:rsidRPr="0018081B">
        <w:rPr>
          <w:rFonts w:cstheme="minorHAnsi"/>
        </w:rPr>
        <w:t xml:space="preserve"> (Res)), Master of Philosophy (MPhil), Doctor of Philosophy (PhD) or Doctor of Music (Performance) (DMus)</w:t>
      </w:r>
      <w:r w:rsidRPr="0018081B">
        <w:rPr>
          <w:rFonts w:cstheme="minorHAnsi"/>
        </w:rPr>
        <w:t xml:space="preserve">. </w:t>
      </w:r>
      <w:r w:rsidR="00447561" w:rsidRPr="0018081B">
        <w:rPr>
          <w:rFonts w:cstheme="minorHAnsi"/>
        </w:rPr>
        <w:t xml:space="preserve"> </w:t>
      </w: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The student registr</w:t>
      </w:r>
      <w:r w:rsidR="00447561" w:rsidRPr="0018081B">
        <w:rPr>
          <w:rFonts w:cstheme="minorHAnsi"/>
        </w:rPr>
        <w:t xml:space="preserve">ation will have been live </w:t>
      </w:r>
      <w:r w:rsidRPr="0018081B">
        <w:rPr>
          <w:rFonts w:cstheme="minorHAnsi"/>
        </w:rPr>
        <w:t>as of the 1</w:t>
      </w:r>
      <w:r w:rsidRPr="0018081B">
        <w:rPr>
          <w:rFonts w:cstheme="minorHAnsi"/>
          <w:vertAlign w:val="superscript"/>
        </w:rPr>
        <w:t>st</w:t>
      </w:r>
      <w:r w:rsidRPr="0018081B">
        <w:rPr>
          <w:rFonts w:cstheme="minorHAnsi"/>
        </w:rPr>
        <w:t xml:space="preserve"> April 2023.  ▪</w:t>
      </w: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</w:p>
    <w:p w:rsidR="00447561" w:rsidRPr="0018081B" w:rsidRDefault="00447561" w:rsidP="004503E8">
      <w:pPr>
        <w:tabs>
          <w:tab w:val="left" w:pos="827"/>
        </w:tabs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To be eligible for any award, research students must</w:t>
      </w:r>
      <w:r w:rsidRPr="0018081B">
        <w:rPr>
          <w:rFonts w:cstheme="minorHAnsi"/>
          <w:spacing w:val="-9"/>
        </w:rPr>
        <w:t xml:space="preserve"> </w:t>
      </w:r>
      <w:r w:rsidRPr="0018081B">
        <w:rPr>
          <w:rFonts w:cstheme="minorHAnsi"/>
        </w:rPr>
        <w:t>maintain</w:t>
      </w:r>
      <w:r w:rsidRPr="0018081B">
        <w:rPr>
          <w:rFonts w:cstheme="minorHAnsi"/>
          <w:spacing w:val="-11"/>
        </w:rPr>
        <w:t xml:space="preserve"> </w:t>
      </w:r>
      <w:r w:rsidRPr="0018081B">
        <w:rPr>
          <w:rFonts w:cstheme="minorHAnsi"/>
        </w:rPr>
        <w:t>an</w:t>
      </w:r>
      <w:r w:rsidRPr="0018081B">
        <w:rPr>
          <w:rFonts w:cstheme="minorHAnsi"/>
          <w:spacing w:val="-9"/>
        </w:rPr>
        <w:t xml:space="preserve"> </w:t>
      </w:r>
      <w:r w:rsidRPr="0018081B">
        <w:rPr>
          <w:rFonts w:cstheme="minorHAnsi"/>
        </w:rPr>
        <w:t>actual</w:t>
      </w:r>
      <w:r w:rsidRPr="0018081B">
        <w:rPr>
          <w:rFonts w:cstheme="minorHAnsi"/>
          <w:spacing w:val="-11"/>
        </w:rPr>
        <w:t xml:space="preserve"> </w:t>
      </w:r>
      <w:r w:rsidRPr="0018081B">
        <w:rPr>
          <w:rFonts w:cstheme="minorHAnsi"/>
        </w:rPr>
        <w:t>presence</w:t>
      </w:r>
      <w:r w:rsidRPr="0018081B">
        <w:rPr>
          <w:rFonts w:cstheme="minorHAnsi"/>
          <w:spacing w:val="-8"/>
        </w:rPr>
        <w:t xml:space="preserve"> </w:t>
      </w:r>
      <w:r w:rsidRPr="0018081B">
        <w:rPr>
          <w:rFonts w:cstheme="minorHAnsi"/>
        </w:rPr>
        <w:t>within</w:t>
      </w:r>
      <w:r w:rsidRPr="0018081B">
        <w:rPr>
          <w:rFonts w:cstheme="minorHAnsi"/>
          <w:spacing w:val="-10"/>
        </w:rPr>
        <w:t xml:space="preserve"> </w:t>
      </w:r>
      <w:r w:rsidRPr="0018081B">
        <w:rPr>
          <w:rFonts w:cstheme="minorHAnsi"/>
        </w:rPr>
        <w:t>their</w:t>
      </w:r>
      <w:r w:rsidRPr="0018081B">
        <w:rPr>
          <w:rFonts w:cstheme="minorHAnsi"/>
          <w:spacing w:val="-10"/>
        </w:rPr>
        <w:t xml:space="preserve"> </w:t>
      </w:r>
      <w:r w:rsidRPr="0018081B">
        <w:rPr>
          <w:rFonts w:cstheme="minorHAnsi"/>
        </w:rPr>
        <w:t>respective</w:t>
      </w:r>
      <w:r w:rsidRPr="0018081B">
        <w:rPr>
          <w:rFonts w:cstheme="minorHAnsi"/>
          <w:spacing w:val="-10"/>
        </w:rPr>
        <w:t xml:space="preserve"> </w:t>
      </w:r>
      <w:r w:rsidRPr="0018081B">
        <w:rPr>
          <w:rFonts w:cstheme="minorHAnsi"/>
        </w:rPr>
        <w:t xml:space="preserve">schools and must reside in Ireland within a reasonable travelling distance of their school. </w:t>
      </w:r>
      <w:r w:rsidRPr="0018081B">
        <w:rPr>
          <w:rFonts w:cstheme="minorHAnsi"/>
          <w:spacing w:val="-17"/>
        </w:rPr>
        <w:t xml:space="preserve"> </w:t>
      </w:r>
    </w:p>
    <w:p w:rsidR="00447561" w:rsidRPr="0018081B" w:rsidRDefault="00447561" w:rsidP="004503E8">
      <w:pPr>
        <w:spacing w:after="0" w:line="360" w:lineRule="auto"/>
        <w:jc w:val="both"/>
        <w:rPr>
          <w:rFonts w:cstheme="minorHAnsi"/>
        </w:rPr>
      </w:pPr>
    </w:p>
    <w:p w:rsidR="00447561" w:rsidRPr="0018081B" w:rsidRDefault="00447561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Applicants must have successfully completed training, annual evaluations, transfer or confirmation examination</w:t>
      </w:r>
      <w:r w:rsidR="004503E8" w:rsidRPr="0018081B">
        <w:rPr>
          <w:rFonts w:cstheme="minorHAnsi"/>
        </w:rPr>
        <w:t>s</w:t>
      </w:r>
      <w:r w:rsidRPr="0018081B">
        <w:rPr>
          <w:rFonts w:cstheme="minorHAnsi"/>
        </w:rPr>
        <w:t>, as appropriate.</w:t>
      </w:r>
    </w:p>
    <w:p w:rsidR="00447561" w:rsidRPr="0018081B" w:rsidRDefault="00447561" w:rsidP="004503E8">
      <w:pPr>
        <w:spacing w:after="0" w:line="360" w:lineRule="auto"/>
        <w:jc w:val="both"/>
        <w:rPr>
          <w:rFonts w:cstheme="minorHAnsi"/>
        </w:rPr>
      </w:pP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The maximum award to</w:t>
      </w:r>
      <w:r w:rsidR="004503E8" w:rsidRPr="0018081B">
        <w:rPr>
          <w:rFonts w:cstheme="minorHAnsi"/>
        </w:rPr>
        <w:t xml:space="preserve"> any individual student</w:t>
      </w:r>
      <w:r w:rsidR="00474541">
        <w:rPr>
          <w:rFonts w:cstheme="minorHAnsi"/>
        </w:rPr>
        <w:t xml:space="preserve"> is €1,000 in any calendar year</w:t>
      </w:r>
      <w:bookmarkStart w:id="0" w:name="_GoBack"/>
      <w:bookmarkEnd w:id="0"/>
      <w:r w:rsidRPr="0018081B">
        <w:rPr>
          <w:rFonts w:cstheme="minorHAnsi"/>
        </w:rPr>
        <w:t>.</w:t>
      </w: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Support from this fund will be given to eligible research students in greatest need, for example, those who are coming to the end of their programme</w:t>
      </w:r>
      <w:r w:rsidR="00D01EED" w:rsidRPr="0018081B">
        <w:rPr>
          <w:rFonts w:cstheme="minorHAnsi"/>
        </w:rPr>
        <w:t xml:space="preserve"> </w:t>
      </w:r>
      <w:r w:rsidR="00D01EED" w:rsidRPr="0018081B">
        <w:rPr>
          <w:rFonts w:cstheme="minorHAnsi"/>
          <w:shd w:val="clear" w:color="auto" w:fill="FFFFFF"/>
        </w:rPr>
        <w:t xml:space="preserve">to enable them to fully benefit from their higher education and </w:t>
      </w:r>
      <w:r w:rsidRPr="0018081B">
        <w:rPr>
          <w:rFonts w:cstheme="minorHAnsi"/>
        </w:rPr>
        <w:t>to successfully complete.</w:t>
      </w:r>
    </w:p>
    <w:p w:rsidR="00DB2ABE" w:rsidRPr="0018081B" w:rsidRDefault="00DB2ABE" w:rsidP="004503E8">
      <w:pPr>
        <w:spacing w:after="0" w:line="360" w:lineRule="auto"/>
        <w:jc w:val="both"/>
        <w:rPr>
          <w:rFonts w:cstheme="minorHAnsi"/>
        </w:rPr>
      </w:pPr>
    </w:p>
    <w:p w:rsidR="00A072F5" w:rsidRPr="0018081B" w:rsidRDefault="00A072F5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Funding is provided as a contribution towards, rent, childcare, food, heating and other utilities, broadband, fees for self-funded students, reasonable travel costs to and from TU Dublin</w:t>
      </w:r>
      <w:r w:rsidR="0018081B">
        <w:rPr>
          <w:rFonts w:cstheme="minorHAnsi"/>
        </w:rPr>
        <w:t>.</w:t>
      </w:r>
    </w:p>
    <w:p w:rsidR="00A072F5" w:rsidRPr="0018081B" w:rsidRDefault="00A072F5" w:rsidP="004503E8">
      <w:pPr>
        <w:spacing w:after="0" w:line="360" w:lineRule="auto"/>
        <w:jc w:val="both"/>
        <w:rPr>
          <w:rFonts w:cstheme="minorHAnsi"/>
        </w:rPr>
      </w:pPr>
    </w:p>
    <w:p w:rsidR="00A072F5" w:rsidRPr="0018081B" w:rsidRDefault="00A072F5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 xml:space="preserve">Funding is not provided towards </w:t>
      </w:r>
      <w:proofErr w:type="spellStart"/>
      <w:r w:rsidRPr="0018081B">
        <w:rPr>
          <w:rFonts w:cstheme="minorHAnsi"/>
        </w:rPr>
        <w:t>socialising</w:t>
      </w:r>
      <w:proofErr w:type="spellEnd"/>
      <w:r w:rsidRPr="0018081B">
        <w:rPr>
          <w:rFonts w:cstheme="minorHAnsi"/>
        </w:rPr>
        <w:t xml:space="preserve"> and entertainment, international travel, the costs of the research activity, 3</w:t>
      </w:r>
      <w:r w:rsidRPr="0018081B">
        <w:rPr>
          <w:rFonts w:cstheme="minorHAnsi"/>
          <w:vertAlign w:val="superscript"/>
        </w:rPr>
        <w:t>rd</w:t>
      </w:r>
      <w:r w:rsidR="00FD42FB">
        <w:rPr>
          <w:rFonts w:cstheme="minorHAnsi"/>
        </w:rPr>
        <w:t xml:space="preserve"> party expens</w:t>
      </w:r>
      <w:r w:rsidRPr="0018081B">
        <w:rPr>
          <w:rFonts w:cstheme="minorHAnsi"/>
        </w:rPr>
        <w:t>es, laptops and other IT equipment</w:t>
      </w:r>
    </w:p>
    <w:p w:rsidR="00A072F5" w:rsidRPr="0018081B" w:rsidRDefault="00A072F5" w:rsidP="004503E8">
      <w:pPr>
        <w:spacing w:after="0" w:line="360" w:lineRule="auto"/>
        <w:jc w:val="both"/>
        <w:rPr>
          <w:rFonts w:cstheme="minorHAnsi"/>
        </w:rPr>
      </w:pPr>
    </w:p>
    <w:p w:rsidR="00A072F5" w:rsidRPr="0018081B" w:rsidRDefault="00A072F5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lastRenderedPageBreak/>
        <w:t>There are always exceptional cases, so if you believe your circumstances warrant consideration, please give details in your application and upload any evidence you may have.</w:t>
      </w:r>
    </w:p>
    <w:p w:rsidR="00A072F5" w:rsidRPr="0018081B" w:rsidRDefault="00A072F5" w:rsidP="004503E8">
      <w:pPr>
        <w:spacing w:after="0" w:line="360" w:lineRule="auto"/>
        <w:jc w:val="both"/>
        <w:rPr>
          <w:rFonts w:cstheme="minorHAnsi"/>
        </w:rPr>
      </w:pPr>
    </w:p>
    <w:p w:rsidR="008F4E88" w:rsidRPr="0018081B" w:rsidRDefault="00DB2ABE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>The Graduate Research Student Assistance Fund</w:t>
      </w:r>
      <w:r w:rsidR="008F4E88" w:rsidRPr="0018081B">
        <w:rPr>
          <w:rFonts w:cstheme="minorHAnsi"/>
        </w:rPr>
        <w:t xml:space="preserve"> is solely for th</w:t>
      </w:r>
      <w:r w:rsidRPr="0018081B">
        <w:rPr>
          <w:rFonts w:cstheme="minorHAnsi"/>
        </w:rPr>
        <w:t>e provision of assistance to research students and does not support any other</w:t>
      </w:r>
      <w:r w:rsidR="0018081B">
        <w:rPr>
          <w:rFonts w:cstheme="minorHAnsi"/>
        </w:rPr>
        <w:t xml:space="preserve"> student</w:t>
      </w:r>
      <w:r w:rsidR="008F4E88" w:rsidRPr="0018081B">
        <w:rPr>
          <w:rFonts w:cstheme="minorHAnsi"/>
        </w:rPr>
        <w:t xml:space="preserve">. </w:t>
      </w:r>
    </w:p>
    <w:p w:rsidR="00447561" w:rsidRPr="0018081B" w:rsidRDefault="00447561" w:rsidP="004503E8">
      <w:pPr>
        <w:spacing w:after="0" w:line="360" w:lineRule="auto"/>
        <w:jc w:val="both"/>
        <w:rPr>
          <w:rFonts w:cstheme="minorHAnsi"/>
        </w:rPr>
      </w:pPr>
    </w:p>
    <w:p w:rsidR="00447561" w:rsidRPr="0018081B" w:rsidRDefault="00447561" w:rsidP="004503E8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  <w:r w:rsidRPr="0018081B">
        <w:rPr>
          <w:rFonts w:asciiTheme="minorHAnsi" w:hAnsiTheme="minorHAnsi" w:cstheme="minorHAnsi"/>
        </w:rPr>
        <w:t xml:space="preserve">Awards will be made on the basis of greatest need, and applications must be supported by the provision of documented evidence of those needs.  </w:t>
      </w:r>
    </w:p>
    <w:p w:rsidR="00447561" w:rsidRPr="0018081B" w:rsidRDefault="00447561" w:rsidP="004503E8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</w:p>
    <w:p w:rsidR="00447561" w:rsidRPr="0018081B" w:rsidRDefault="00447561" w:rsidP="004503E8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  <w:r w:rsidRPr="0018081B">
        <w:rPr>
          <w:rFonts w:asciiTheme="minorHAnsi" w:hAnsiTheme="minorHAnsi" w:cstheme="minorHAnsi"/>
        </w:rPr>
        <w:t>TU Dublin reserves the right not to award all the funding.</w:t>
      </w:r>
    </w:p>
    <w:p w:rsidR="00447561" w:rsidRPr="0018081B" w:rsidRDefault="00447561" w:rsidP="004503E8">
      <w:pPr>
        <w:spacing w:after="0" w:line="360" w:lineRule="auto"/>
        <w:jc w:val="both"/>
        <w:rPr>
          <w:rFonts w:cstheme="minorHAnsi"/>
        </w:rPr>
      </w:pPr>
    </w:p>
    <w:p w:rsidR="004503E8" w:rsidRPr="0018081B" w:rsidRDefault="00447561" w:rsidP="004503E8">
      <w:pPr>
        <w:spacing w:after="0" w:line="360" w:lineRule="auto"/>
        <w:jc w:val="both"/>
        <w:rPr>
          <w:rFonts w:cstheme="minorHAnsi"/>
          <w:shd w:val="clear" w:color="auto" w:fill="FFFFFF"/>
        </w:rPr>
      </w:pPr>
      <w:r w:rsidRPr="0018081B">
        <w:rPr>
          <w:rFonts w:cstheme="minorHAnsi"/>
        </w:rPr>
        <w:t>The fund</w:t>
      </w:r>
      <w:r w:rsidR="008F4E88" w:rsidRPr="0018081B">
        <w:rPr>
          <w:rFonts w:cstheme="minorHAnsi"/>
        </w:rPr>
        <w:t xml:space="preserve"> will be administered centrally and </w:t>
      </w:r>
      <w:r w:rsidR="004503E8" w:rsidRPr="0018081B">
        <w:rPr>
          <w:rFonts w:cstheme="minorHAnsi"/>
        </w:rPr>
        <w:t xml:space="preserve">each application will be assessed by an independent panel, to include the Head of the Graduate Research School and the Head of </w:t>
      </w:r>
      <w:r w:rsidR="004503E8" w:rsidRPr="0018081B">
        <w:rPr>
          <w:rFonts w:cstheme="minorHAnsi"/>
          <w:shd w:val="clear" w:color="auto" w:fill="FFFFFF"/>
        </w:rPr>
        <w:t xml:space="preserve">Student Services &amp; Wellbeing. </w:t>
      </w:r>
    </w:p>
    <w:p w:rsidR="004503E8" w:rsidRPr="0018081B" w:rsidRDefault="004503E8" w:rsidP="004503E8">
      <w:pPr>
        <w:spacing w:after="0" w:line="360" w:lineRule="auto"/>
        <w:jc w:val="both"/>
        <w:rPr>
          <w:rFonts w:cstheme="minorHAnsi"/>
        </w:rPr>
      </w:pPr>
    </w:p>
    <w:p w:rsidR="008F4E88" w:rsidRPr="0018081B" w:rsidRDefault="008F4E88" w:rsidP="004503E8">
      <w:pPr>
        <w:spacing w:after="0" w:line="360" w:lineRule="auto"/>
        <w:jc w:val="both"/>
        <w:rPr>
          <w:rFonts w:cstheme="minorHAnsi"/>
        </w:rPr>
      </w:pPr>
      <w:r w:rsidRPr="0018081B">
        <w:rPr>
          <w:rFonts w:cstheme="minorHAnsi"/>
        </w:rPr>
        <w:t xml:space="preserve">All relevant State Aid rules will be fully complied with. ▪ </w:t>
      </w:r>
    </w:p>
    <w:sectPr w:rsidR="008F4E88" w:rsidRPr="00180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035E"/>
    <w:multiLevelType w:val="hybridMultilevel"/>
    <w:tmpl w:val="C7D82026"/>
    <w:lvl w:ilvl="0" w:tplc="D64009CA">
      <w:start w:val="1"/>
      <w:numFmt w:val="decimal"/>
      <w:lvlText w:val="%1."/>
      <w:lvlJc w:val="left"/>
      <w:pPr>
        <w:ind w:left="826" w:hanging="358"/>
      </w:pPr>
      <w:rPr>
        <w:rFonts w:ascii="Calibri" w:eastAsia="Calibri" w:hAnsi="Calibri" w:cs="Calibri" w:hint="default"/>
        <w:w w:val="99"/>
        <w:sz w:val="22"/>
        <w:szCs w:val="22"/>
        <w:lang w:val="en-IE" w:eastAsia="en-IE" w:bidi="en-IE"/>
      </w:rPr>
    </w:lvl>
    <w:lvl w:ilvl="1" w:tplc="E5E08964">
      <w:numFmt w:val="bullet"/>
      <w:lvlText w:val=""/>
      <w:lvlJc w:val="left"/>
      <w:pPr>
        <w:ind w:left="1814" w:hanging="993"/>
      </w:pPr>
      <w:rPr>
        <w:rFonts w:hint="default"/>
        <w:w w:val="100"/>
        <w:lang w:val="en-IE" w:eastAsia="en-IE" w:bidi="en-IE"/>
      </w:rPr>
    </w:lvl>
    <w:lvl w:ilvl="2" w:tplc="5680F7F4">
      <w:numFmt w:val="bullet"/>
      <w:lvlText w:val="•"/>
      <w:lvlJc w:val="left"/>
      <w:pPr>
        <w:ind w:left="2838" w:hanging="993"/>
      </w:pPr>
      <w:rPr>
        <w:rFonts w:hint="default"/>
        <w:lang w:val="en-IE" w:eastAsia="en-IE" w:bidi="en-IE"/>
      </w:rPr>
    </w:lvl>
    <w:lvl w:ilvl="3" w:tplc="D2BCF2BE">
      <w:numFmt w:val="bullet"/>
      <w:lvlText w:val="•"/>
      <w:lvlJc w:val="left"/>
      <w:pPr>
        <w:ind w:left="3856" w:hanging="993"/>
      </w:pPr>
      <w:rPr>
        <w:rFonts w:hint="default"/>
        <w:lang w:val="en-IE" w:eastAsia="en-IE" w:bidi="en-IE"/>
      </w:rPr>
    </w:lvl>
    <w:lvl w:ilvl="4" w:tplc="038C7686">
      <w:numFmt w:val="bullet"/>
      <w:lvlText w:val="•"/>
      <w:lvlJc w:val="left"/>
      <w:pPr>
        <w:ind w:left="4875" w:hanging="993"/>
      </w:pPr>
      <w:rPr>
        <w:rFonts w:hint="default"/>
        <w:lang w:val="en-IE" w:eastAsia="en-IE" w:bidi="en-IE"/>
      </w:rPr>
    </w:lvl>
    <w:lvl w:ilvl="5" w:tplc="704A4F3C">
      <w:numFmt w:val="bullet"/>
      <w:lvlText w:val="•"/>
      <w:lvlJc w:val="left"/>
      <w:pPr>
        <w:ind w:left="5893" w:hanging="993"/>
      </w:pPr>
      <w:rPr>
        <w:rFonts w:hint="default"/>
        <w:lang w:val="en-IE" w:eastAsia="en-IE" w:bidi="en-IE"/>
      </w:rPr>
    </w:lvl>
    <w:lvl w:ilvl="6" w:tplc="08D42BAE">
      <w:numFmt w:val="bullet"/>
      <w:lvlText w:val="•"/>
      <w:lvlJc w:val="left"/>
      <w:pPr>
        <w:ind w:left="6912" w:hanging="993"/>
      </w:pPr>
      <w:rPr>
        <w:rFonts w:hint="default"/>
        <w:lang w:val="en-IE" w:eastAsia="en-IE" w:bidi="en-IE"/>
      </w:rPr>
    </w:lvl>
    <w:lvl w:ilvl="7" w:tplc="0D5AADC6">
      <w:numFmt w:val="bullet"/>
      <w:lvlText w:val="•"/>
      <w:lvlJc w:val="left"/>
      <w:pPr>
        <w:ind w:left="7930" w:hanging="993"/>
      </w:pPr>
      <w:rPr>
        <w:rFonts w:hint="default"/>
        <w:lang w:val="en-IE" w:eastAsia="en-IE" w:bidi="en-IE"/>
      </w:rPr>
    </w:lvl>
    <w:lvl w:ilvl="8" w:tplc="291A4BD4">
      <w:numFmt w:val="bullet"/>
      <w:lvlText w:val="•"/>
      <w:lvlJc w:val="left"/>
      <w:pPr>
        <w:ind w:left="8949" w:hanging="993"/>
      </w:pPr>
      <w:rPr>
        <w:rFonts w:hint="default"/>
        <w:lang w:val="en-IE" w:eastAsia="en-IE" w:bidi="en-I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88"/>
    <w:rsid w:val="0018081B"/>
    <w:rsid w:val="001C2012"/>
    <w:rsid w:val="00447561"/>
    <w:rsid w:val="004503E8"/>
    <w:rsid w:val="00474541"/>
    <w:rsid w:val="0055325D"/>
    <w:rsid w:val="008F4E88"/>
    <w:rsid w:val="00A072F5"/>
    <w:rsid w:val="00A23511"/>
    <w:rsid w:val="00D01EED"/>
    <w:rsid w:val="00DB2ABE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3AEDF"/>
  <w15:chartTrackingRefBased/>
  <w15:docId w15:val="{2C1C98BB-E072-40CC-AC16-A7941AB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75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47561"/>
    <w:rPr>
      <w:rFonts w:ascii="Calibri" w:eastAsia="Calibri" w:hAnsi="Calibri" w:cs="Calibri"/>
      <w:lang w:val="en-IE" w:eastAsia="en-IE" w:bidi="en-IE"/>
    </w:rPr>
  </w:style>
  <w:style w:type="paragraph" w:styleId="ListParagraph">
    <w:name w:val="List Paragraph"/>
    <w:basedOn w:val="Normal"/>
    <w:uiPriority w:val="1"/>
    <w:qFormat/>
    <w:rsid w:val="00447561"/>
    <w:pPr>
      <w:widowControl w:val="0"/>
      <w:autoSpaceDE w:val="0"/>
      <w:autoSpaceDN w:val="0"/>
      <w:spacing w:after="0" w:line="240" w:lineRule="auto"/>
      <w:ind w:left="832" w:hanging="361"/>
    </w:pPr>
    <w:rPr>
      <w:rFonts w:ascii="Calibri" w:eastAsia="Calibri" w:hAnsi="Calibri" w:cs="Calibri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2073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McNamara</dc:creator>
  <cp:keywords/>
  <dc:description/>
  <cp:lastModifiedBy>Mary McNamara</cp:lastModifiedBy>
  <cp:revision>2</cp:revision>
  <dcterms:created xsi:type="dcterms:W3CDTF">2024-03-08T09:40:00Z</dcterms:created>
  <dcterms:modified xsi:type="dcterms:W3CDTF">2024-03-08T09:40:00Z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587f2fc5c25b0e33990e55b5edd579fefb21e643ebdcbf5b5470eabdcfc0b3fb</vt:lpwstr>
  </property>
</Properties>
</file>